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55" w:rsidRPr="008B7842" w:rsidRDefault="004F0455" w:rsidP="004F0455">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UNIVERSIDAD REGIONAL AUTÓNOMA DE LOS ANDES</w:t>
      </w:r>
    </w:p>
    <w:p w:rsidR="004F0455" w:rsidRPr="00FC33AB" w:rsidRDefault="004F0455" w:rsidP="004F0455">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“U N I A N D E S”</w:t>
      </w:r>
    </w:p>
    <w:p w:rsidR="004F0455" w:rsidRPr="008B7842" w:rsidRDefault="004F0455" w:rsidP="004F0455">
      <w:pPr>
        <w:spacing w:line="360" w:lineRule="auto"/>
        <w:jc w:val="center"/>
        <w:rPr>
          <w:rFonts w:ascii="Times New Roman" w:hAnsi="Times New Roman" w:cs="Times New Roman"/>
          <w:sz w:val="24"/>
          <w:szCs w:val="24"/>
        </w:rPr>
      </w:pPr>
      <w:r>
        <w:rPr>
          <w:rFonts w:ascii="Arial" w:hAnsi="Arial" w:cs="Arial"/>
          <w:noProof/>
          <w:sz w:val="20"/>
          <w:szCs w:val="20"/>
          <w:lang w:eastAsia="es-EC"/>
        </w:rPr>
        <w:drawing>
          <wp:anchor distT="0" distB="0" distL="114300" distR="114300" simplePos="0" relativeHeight="251659264" behindDoc="0" locked="0" layoutInCell="1" allowOverlap="1" wp14:anchorId="00E15E5B" wp14:editId="60ED8287">
            <wp:simplePos x="0" y="0"/>
            <wp:positionH relativeFrom="column">
              <wp:posOffset>1977390</wp:posOffset>
            </wp:positionH>
            <wp:positionV relativeFrom="paragraph">
              <wp:posOffset>73025</wp:posOffset>
            </wp:positionV>
            <wp:extent cx="1676400" cy="1581150"/>
            <wp:effectExtent l="0" t="0" r="0" b="0"/>
            <wp:wrapNone/>
            <wp:docPr id="1"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1581150"/>
                    </a:xfrm>
                    <a:prstGeom prst="rect">
                      <a:avLst/>
                    </a:prstGeom>
                    <a:noFill/>
                    <a:ln w="9525">
                      <a:noFill/>
                      <a:miter lim="800000"/>
                      <a:headEnd/>
                      <a:tailEnd/>
                    </a:ln>
                  </pic:spPr>
                </pic:pic>
              </a:graphicData>
            </a:graphic>
          </wp:anchor>
        </w:drawing>
      </w:r>
    </w:p>
    <w:p w:rsidR="004F0455" w:rsidRDefault="004F0455" w:rsidP="004F0455">
      <w:pPr>
        <w:spacing w:line="360" w:lineRule="auto"/>
        <w:jc w:val="center"/>
        <w:rPr>
          <w:rFonts w:ascii="Times New Roman" w:hAnsi="Times New Roman" w:cs="Times New Roman"/>
          <w:b/>
          <w:sz w:val="24"/>
          <w:szCs w:val="24"/>
        </w:rPr>
      </w:pPr>
    </w:p>
    <w:p w:rsidR="004F0455" w:rsidRDefault="004F0455" w:rsidP="004F0455">
      <w:pPr>
        <w:spacing w:line="360" w:lineRule="auto"/>
        <w:jc w:val="center"/>
        <w:rPr>
          <w:rFonts w:ascii="Times New Roman" w:hAnsi="Times New Roman" w:cs="Times New Roman"/>
          <w:b/>
          <w:sz w:val="24"/>
          <w:szCs w:val="24"/>
        </w:rPr>
      </w:pPr>
    </w:p>
    <w:p w:rsidR="004F0455" w:rsidRDefault="004F0455" w:rsidP="004F0455">
      <w:pPr>
        <w:spacing w:line="360" w:lineRule="auto"/>
        <w:jc w:val="center"/>
        <w:rPr>
          <w:rFonts w:ascii="Times New Roman" w:hAnsi="Times New Roman" w:cs="Times New Roman"/>
          <w:b/>
          <w:sz w:val="24"/>
          <w:szCs w:val="24"/>
        </w:rPr>
      </w:pPr>
    </w:p>
    <w:p w:rsidR="004F0455" w:rsidRDefault="004F0455" w:rsidP="004F0455">
      <w:pPr>
        <w:spacing w:line="360" w:lineRule="auto"/>
        <w:jc w:val="center"/>
        <w:rPr>
          <w:rFonts w:ascii="Times New Roman" w:hAnsi="Times New Roman" w:cs="Times New Roman"/>
          <w:b/>
          <w:sz w:val="24"/>
          <w:szCs w:val="24"/>
        </w:rPr>
      </w:pPr>
    </w:p>
    <w:p w:rsidR="004F0455" w:rsidRPr="008B7842" w:rsidRDefault="004F0455" w:rsidP="004F0455">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FACULTAD DE SISTEMAS MERCANTILES</w:t>
      </w:r>
    </w:p>
    <w:p w:rsidR="004F0455" w:rsidRPr="008B7842" w:rsidRDefault="004F0455" w:rsidP="004F0455">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CARRERA DE CONTABILIDAD Y AUDITORÍA</w:t>
      </w:r>
    </w:p>
    <w:p w:rsidR="004F0455" w:rsidRPr="008B7842" w:rsidRDefault="004F0455" w:rsidP="004F0455">
      <w:pPr>
        <w:spacing w:line="360" w:lineRule="auto"/>
        <w:jc w:val="center"/>
        <w:rPr>
          <w:rFonts w:ascii="Times New Roman" w:hAnsi="Times New Roman" w:cs="Times New Roman"/>
          <w:b/>
          <w:sz w:val="24"/>
          <w:szCs w:val="24"/>
        </w:rPr>
      </w:pPr>
    </w:p>
    <w:p w:rsidR="004F0455" w:rsidRPr="008B7842" w:rsidRDefault="004F0455" w:rsidP="004F0455">
      <w:pPr>
        <w:spacing w:line="360" w:lineRule="auto"/>
        <w:jc w:val="center"/>
        <w:rPr>
          <w:rFonts w:ascii="Times New Roman" w:hAnsi="Times New Roman" w:cs="Times New Roman"/>
          <w:sz w:val="24"/>
          <w:szCs w:val="24"/>
        </w:rPr>
      </w:pPr>
      <w:r w:rsidRPr="008B7842">
        <w:rPr>
          <w:rFonts w:ascii="Times New Roman" w:hAnsi="Times New Roman" w:cs="Times New Roman"/>
          <w:b/>
          <w:sz w:val="24"/>
          <w:szCs w:val="24"/>
        </w:rPr>
        <w:t xml:space="preserve">TEMA: </w:t>
      </w:r>
      <w:r>
        <w:rPr>
          <w:rFonts w:ascii="Times New Roman" w:hAnsi="Times New Roman" w:cs="Times New Roman"/>
          <w:bCs/>
          <w:sz w:val="24"/>
          <w:szCs w:val="24"/>
        </w:rPr>
        <w:t>“NORMATIVAS DE LOS ESTADOS FINANCIEROS</w:t>
      </w:r>
      <w:r w:rsidRPr="008B7842">
        <w:rPr>
          <w:rFonts w:ascii="Times New Roman" w:hAnsi="Times New Roman" w:cs="Times New Roman"/>
          <w:bCs/>
          <w:sz w:val="24"/>
          <w:szCs w:val="24"/>
        </w:rPr>
        <w:t>”</w:t>
      </w:r>
    </w:p>
    <w:p w:rsidR="004F0455" w:rsidRPr="008B7842" w:rsidRDefault="004F0455" w:rsidP="004F0455">
      <w:pPr>
        <w:spacing w:line="360" w:lineRule="auto"/>
        <w:jc w:val="center"/>
        <w:rPr>
          <w:rFonts w:ascii="Times New Roman" w:hAnsi="Times New Roman" w:cs="Times New Roman"/>
          <w:b/>
          <w:sz w:val="24"/>
          <w:szCs w:val="24"/>
        </w:rPr>
      </w:pPr>
    </w:p>
    <w:p w:rsidR="004F0455" w:rsidRDefault="004F0455" w:rsidP="004F0455">
      <w:pPr>
        <w:spacing w:line="360" w:lineRule="auto"/>
        <w:jc w:val="center"/>
        <w:rPr>
          <w:rFonts w:ascii="Times New Roman" w:hAnsi="Times New Roman" w:cs="Times New Roman"/>
          <w:sz w:val="24"/>
          <w:szCs w:val="24"/>
        </w:rPr>
      </w:pPr>
      <w:r>
        <w:rPr>
          <w:rFonts w:ascii="Times New Roman" w:hAnsi="Times New Roman" w:cs="Times New Roman"/>
          <w:b/>
          <w:sz w:val="24"/>
          <w:szCs w:val="24"/>
        </w:rPr>
        <w:t xml:space="preserve">ALUMNA: </w:t>
      </w:r>
      <w:r w:rsidRPr="008B7842">
        <w:rPr>
          <w:rFonts w:ascii="Times New Roman" w:hAnsi="Times New Roman" w:cs="Times New Roman"/>
          <w:sz w:val="24"/>
          <w:szCs w:val="24"/>
        </w:rPr>
        <w:t>VERÓNICA TELLO</w:t>
      </w:r>
    </w:p>
    <w:p w:rsidR="004F0455" w:rsidRPr="008B7842" w:rsidRDefault="004F0455" w:rsidP="004F0455">
      <w:pPr>
        <w:spacing w:line="360" w:lineRule="auto"/>
        <w:jc w:val="center"/>
        <w:rPr>
          <w:rFonts w:ascii="Times New Roman" w:hAnsi="Times New Roman" w:cs="Times New Roman"/>
          <w:sz w:val="24"/>
          <w:szCs w:val="24"/>
        </w:rPr>
      </w:pPr>
    </w:p>
    <w:p w:rsidR="004F0455" w:rsidRPr="00004E2D" w:rsidRDefault="004F0455" w:rsidP="004F0455">
      <w:pPr>
        <w:spacing w:line="360" w:lineRule="auto"/>
        <w:jc w:val="center"/>
        <w:rPr>
          <w:rFonts w:ascii="Times New Roman" w:hAnsi="Times New Roman" w:cs="Times New Roman"/>
          <w:sz w:val="24"/>
          <w:szCs w:val="24"/>
        </w:rPr>
      </w:pPr>
      <w:r>
        <w:rPr>
          <w:rFonts w:ascii="Times New Roman" w:hAnsi="Times New Roman" w:cs="Times New Roman"/>
          <w:b/>
          <w:sz w:val="24"/>
          <w:szCs w:val="24"/>
        </w:rPr>
        <w:t xml:space="preserve">ING: </w:t>
      </w:r>
      <w:r>
        <w:rPr>
          <w:rFonts w:ascii="Times New Roman" w:hAnsi="Times New Roman" w:cs="Times New Roman"/>
          <w:sz w:val="24"/>
          <w:szCs w:val="24"/>
        </w:rPr>
        <w:t>DANNY SANDOVAL</w:t>
      </w:r>
    </w:p>
    <w:p w:rsidR="004F0455" w:rsidRPr="008B7842" w:rsidRDefault="004F0455" w:rsidP="004F0455">
      <w:pPr>
        <w:spacing w:line="360" w:lineRule="auto"/>
        <w:rPr>
          <w:rFonts w:ascii="Times New Roman" w:hAnsi="Times New Roman" w:cs="Times New Roman"/>
          <w:sz w:val="24"/>
          <w:szCs w:val="24"/>
        </w:rPr>
      </w:pPr>
    </w:p>
    <w:p w:rsidR="004F0455" w:rsidRDefault="004F0455" w:rsidP="004F0455">
      <w:pPr>
        <w:spacing w:line="360" w:lineRule="auto"/>
        <w:rPr>
          <w:rFonts w:ascii="Times New Roman" w:hAnsi="Times New Roman" w:cs="Times New Roman"/>
          <w:b/>
          <w:sz w:val="24"/>
          <w:szCs w:val="24"/>
        </w:rPr>
      </w:pPr>
    </w:p>
    <w:p w:rsidR="004F0455" w:rsidRDefault="004F0455" w:rsidP="004F0455">
      <w:pPr>
        <w:spacing w:line="360" w:lineRule="auto"/>
        <w:rPr>
          <w:rFonts w:ascii="Times New Roman" w:hAnsi="Times New Roman" w:cs="Times New Roman"/>
          <w:b/>
          <w:sz w:val="24"/>
          <w:szCs w:val="24"/>
        </w:rPr>
      </w:pPr>
    </w:p>
    <w:p w:rsidR="004F0455" w:rsidRPr="008B7842" w:rsidRDefault="004F0455" w:rsidP="004F0455">
      <w:pPr>
        <w:spacing w:line="360" w:lineRule="auto"/>
        <w:rPr>
          <w:rFonts w:ascii="Times New Roman" w:hAnsi="Times New Roman" w:cs="Times New Roman"/>
          <w:b/>
          <w:sz w:val="24"/>
          <w:szCs w:val="24"/>
        </w:rPr>
      </w:pPr>
    </w:p>
    <w:p w:rsidR="004F0455" w:rsidRPr="008B7842" w:rsidRDefault="004F0455" w:rsidP="004F0455">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TULCÁN – ECUADOR</w:t>
      </w:r>
    </w:p>
    <w:p w:rsidR="004F0455" w:rsidRPr="00DD6218" w:rsidRDefault="004F0455" w:rsidP="004F0455">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2012</w:t>
      </w:r>
    </w:p>
    <w:p w:rsidR="00483325" w:rsidRDefault="004F0455" w:rsidP="006D0E26">
      <w:pPr>
        <w:spacing w:line="480" w:lineRule="auto"/>
        <w:jc w:val="center"/>
        <w:rPr>
          <w:rFonts w:ascii="Times New Roman" w:hAnsi="Times New Roman" w:cs="Times New Roman"/>
          <w:b/>
          <w:sz w:val="24"/>
        </w:rPr>
      </w:pPr>
      <w:r>
        <w:rPr>
          <w:rFonts w:ascii="Times New Roman" w:hAnsi="Times New Roman" w:cs="Times New Roman"/>
          <w:b/>
          <w:sz w:val="24"/>
        </w:rPr>
        <w:lastRenderedPageBreak/>
        <w:t>INTRODUCCIÓN</w:t>
      </w:r>
    </w:p>
    <w:p w:rsidR="004F0455" w:rsidRDefault="004F0455" w:rsidP="006D0E26">
      <w:pPr>
        <w:spacing w:line="480" w:lineRule="auto"/>
        <w:jc w:val="center"/>
        <w:rPr>
          <w:rFonts w:ascii="Times New Roman" w:hAnsi="Times New Roman" w:cs="Times New Roman"/>
          <w:b/>
          <w:sz w:val="24"/>
        </w:rPr>
      </w:pPr>
    </w:p>
    <w:p w:rsidR="00152C1F" w:rsidRDefault="00152C1F" w:rsidP="006D0E26">
      <w:pPr>
        <w:spacing w:line="480" w:lineRule="auto"/>
        <w:jc w:val="both"/>
        <w:rPr>
          <w:rFonts w:ascii="Times New Roman" w:hAnsi="Times New Roman" w:cs="Times New Roman"/>
          <w:sz w:val="24"/>
        </w:rPr>
      </w:pPr>
      <w:r>
        <w:rPr>
          <w:rFonts w:ascii="Times New Roman" w:hAnsi="Times New Roman" w:cs="Times New Roman"/>
          <w:sz w:val="24"/>
        </w:rPr>
        <w:t>El presente trabajo, da a conocer sobre las NIIF, PCGA y</w:t>
      </w:r>
      <w:r w:rsidR="00576095">
        <w:rPr>
          <w:rFonts w:ascii="Times New Roman" w:hAnsi="Times New Roman" w:cs="Times New Roman"/>
          <w:sz w:val="24"/>
        </w:rPr>
        <w:t xml:space="preserve"> sus</w:t>
      </w:r>
      <w:r>
        <w:rPr>
          <w:rFonts w:ascii="Times New Roman" w:hAnsi="Times New Roman" w:cs="Times New Roman"/>
          <w:sz w:val="24"/>
        </w:rPr>
        <w:t xml:space="preserve"> Limitaciones que contienen los estados financieros; basada en una información fundamentada y comprensible de manera que se obtenga los conocimientos necesarios para el desarrollo y aplicación de los mismos. </w:t>
      </w:r>
    </w:p>
    <w:p w:rsidR="004F0455" w:rsidRDefault="004F0455" w:rsidP="006D0E26">
      <w:pPr>
        <w:spacing w:line="480" w:lineRule="auto"/>
        <w:jc w:val="both"/>
        <w:rPr>
          <w:rFonts w:ascii="Times New Roman" w:hAnsi="Times New Roman" w:cs="Times New Roman"/>
          <w:sz w:val="24"/>
        </w:rPr>
      </w:pPr>
      <w:r w:rsidRPr="004F0455">
        <w:rPr>
          <w:rFonts w:ascii="Times New Roman" w:hAnsi="Times New Roman" w:cs="Times New Roman"/>
          <w:sz w:val="24"/>
        </w:rPr>
        <w:t xml:space="preserve">La </w:t>
      </w:r>
      <w:r w:rsidRPr="004F0455">
        <w:rPr>
          <w:rFonts w:ascii="Times New Roman" w:hAnsi="Times New Roman" w:cs="Times New Roman"/>
          <w:sz w:val="24"/>
        </w:rPr>
        <w:t>evolución</w:t>
      </w:r>
      <w:r>
        <w:rPr>
          <w:rFonts w:ascii="Times New Roman" w:hAnsi="Times New Roman" w:cs="Times New Roman"/>
          <w:sz w:val="24"/>
        </w:rPr>
        <w:t xml:space="preserve"> de las</w:t>
      </w:r>
      <w:r w:rsidRPr="004F0455">
        <w:rPr>
          <w:rFonts w:ascii="Times New Roman" w:hAnsi="Times New Roman" w:cs="Times New Roman"/>
          <w:sz w:val="24"/>
        </w:rPr>
        <w:t xml:space="preserve"> Normas Internacionales de</w:t>
      </w:r>
      <w:r>
        <w:rPr>
          <w:rFonts w:ascii="Times New Roman" w:hAnsi="Times New Roman" w:cs="Times New Roman"/>
          <w:sz w:val="24"/>
        </w:rPr>
        <w:t xml:space="preserve"> Información Financiera (NIIF), </w:t>
      </w:r>
      <w:r w:rsidR="006D0E26">
        <w:rPr>
          <w:rFonts w:ascii="Times New Roman" w:hAnsi="Times New Roman" w:cs="Times New Roman"/>
          <w:sz w:val="24"/>
        </w:rPr>
        <w:t>de acuerdo con</w:t>
      </w:r>
      <w:r w:rsidRPr="004F0455">
        <w:rPr>
          <w:rFonts w:ascii="Times New Roman" w:hAnsi="Times New Roman" w:cs="Times New Roman"/>
          <w:sz w:val="24"/>
        </w:rPr>
        <w:t xml:space="preserve"> la Superintendencia de Compañías, requiere que los profesionales tengan que </w:t>
      </w:r>
      <w:r w:rsidRPr="004F0455">
        <w:rPr>
          <w:rFonts w:ascii="Times New Roman" w:hAnsi="Times New Roman" w:cs="Times New Roman"/>
          <w:sz w:val="24"/>
        </w:rPr>
        <w:t>adaptar</w:t>
      </w:r>
      <w:r>
        <w:rPr>
          <w:rFonts w:ascii="Times New Roman" w:hAnsi="Times New Roman" w:cs="Times New Roman"/>
          <w:sz w:val="24"/>
        </w:rPr>
        <w:t>se</w:t>
      </w:r>
      <w:r w:rsidRPr="004F0455">
        <w:rPr>
          <w:rFonts w:ascii="Times New Roman" w:hAnsi="Times New Roman" w:cs="Times New Roman"/>
          <w:sz w:val="24"/>
        </w:rPr>
        <w:t xml:space="preserve"> con nuevos conceptos, terminología y formatos diferentes de presentación de la información financiera.</w:t>
      </w:r>
      <w:r w:rsidR="006D0E26">
        <w:rPr>
          <w:rFonts w:ascii="Times New Roman" w:hAnsi="Times New Roman" w:cs="Times New Roman"/>
          <w:sz w:val="24"/>
        </w:rPr>
        <w:t xml:space="preserve"> Así como dar a conocer</w:t>
      </w:r>
      <w:r w:rsidRPr="004F0455">
        <w:rPr>
          <w:rFonts w:ascii="Times New Roman" w:hAnsi="Times New Roman" w:cs="Times New Roman"/>
          <w:sz w:val="24"/>
        </w:rPr>
        <w:t xml:space="preserve"> la aplicación de las NIIF y sus interpretaciones, al momento de preparar, presentar y/o auditar internamente los estados financieros de las empresas.</w:t>
      </w:r>
    </w:p>
    <w:p w:rsidR="00152C1F" w:rsidRPr="00034924" w:rsidRDefault="00152C1F" w:rsidP="006D0E26">
      <w:pPr>
        <w:spacing w:line="480" w:lineRule="auto"/>
        <w:jc w:val="both"/>
        <w:rPr>
          <w:rStyle w:val="a"/>
          <w:rFonts w:ascii="Times New Roman" w:hAnsi="Times New Roman" w:cs="Times New Roman"/>
          <w:sz w:val="24"/>
          <w:szCs w:val="24"/>
          <w:lang w:val="es-ES"/>
        </w:rPr>
      </w:pPr>
      <w:r>
        <w:rPr>
          <w:rStyle w:val="nw"/>
          <w:rFonts w:ascii="Times New Roman" w:hAnsi="Times New Roman" w:cs="Times New Roman"/>
          <w:sz w:val="24"/>
          <w:szCs w:val="24"/>
          <w:lang w:val="es-ES"/>
        </w:rPr>
        <w:t>El propósito de los PCGA es la presentación de los estados financieros de manera uniforme en el ejercicio de sus actividades. Estos principios han sido elaborados tomando en cuenta los principios básicos para que la información financiera de la contabilidad logre el objetivo de ser útil al momento de tomar decisiones.</w:t>
      </w:r>
    </w:p>
    <w:p w:rsidR="00152C1F" w:rsidRDefault="00152C1F" w:rsidP="004F0455">
      <w:pPr>
        <w:spacing w:line="360" w:lineRule="auto"/>
        <w:jc w:val="both"/>
        <w:rPr>
          <w:rFonts w:ascii="Times New Roman" w:hAnsi="Times New Roman" w:cs="Times New Roman"/>
          <w:sz w:val="28"/>
          <w:lang w:val="es-ES"/>
        </w:rPr>
      </w:pPr>
    </w:p>
    <w:p w:rsidR="006D0E26" w:rsidRDefault="006D0E26" w:rsidP="004F0455">
      <w:pPr>
        <w:spacing w:line="360" w:lineRule="auto"/>
        <w:jc w:val="both"/>
        <w:rPr>
          <w:rFonts w:ascii="Times New Roman" w:hAnsi="Times New Roman" w:cs="Times New Roman"/>
          <w:sz w:val="28"/>
          <w:lang w:val="es-ES"/>
        </w:rPr>
      </w:pPr>
    </w:p>
    <w:p w:rsidR="006D0E26" w:rsidRDefault="006D0E26" w:rsidP="004F0455">
      <w:pPr>
        <w:spacing w:line="360" w:lineRule="auto"/>
        <w:jc w:val="both"/>
        <w:rPr>
          <w:rFonts w:ascii="Times New Roman" w:hAnsi="Times New Roman" w:cs="Times New Roman"/>
          <w:sz w:val="28"/>
          <w:lang w:val="es-ES"/>
        </w:rPr>
      </w:pPr>
    </w:p>
    <w:p w:rsidR="006D0E26" w:rsidRDefault="006D0E26" w:rsidP="004F0455">
      <w:pPr>
        <w:spacing w:line="360" w:lineRule="auto"/>
        <w:jc w:val="both"/>
        <w:rPr>
          <w:rFonts w:ascii="Times New Roman" w:hAnsi="Times New Roman" w:cs="Times New Roman"/>
          <w:sz w:val="28"/>
          <w:lang w:val="es-ES"/>
        </w:rPr>
      </w:pPr>
    </w:p>
    <w:p w:rsidR="00556A01" w:rsidRDefault="00556A01" w:rsidP="006D0E26">
      <w:pPr>
        <w:spacing w:line="360" w:lineRule="auto"/>
        <w:jc w:val="both"/>
        <w:rPr>
          <w:rFonts w:ascii="Times New Roman" w:hAnsi="Times New Roman" w:cs="Times New Roman"/>
          <w:sz w:val="28"/>
          <w:lang w:val="es-ES"/>
        </w:rPr>
      </w:pPr>
    </w:p>
    <w:p w:rsidR="006D0E26" w:rsidRDefault="006D0E26" w:rsidP="006D0E26">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OBJETIVOS</w:t>
      </w:r>
    </w:p>
    <w:p w:rsidR="006D0E26" w:rsidRDefault="006D0E26" w:rsidP="006D0E26">
      <w:pPr>
        <w:spacing w:line="360" w:lineRule="auto"/>
        <w:jc w:val="both"/>
        <w:rPr>
          <w:rFonts w:ascii="Times New Roman" w:hAnsi="Times New Roman" w:cs="Times New Roman"/>
          <w:b/>
          <w:sz w:val="24"/>
          <w:szCs w:val="24"/>
        </w:rPr>
      </w:pPr>
      <w:r>
        <w:rPr>
          <w:rFonts w:ascii="Times New Roman" w:hAnsi="Times New Roman" w:cs="Times New Roman"/>
          <w:b/>
          <w:sz w:val="24"/>
          <w:szCs w:val="24"/>
        </w:rPr>
        <w:t>O. GENERAL</w:t>
      </w:r>
    </w:p>
    <w:p w:rsidR="006D0E26" w:rsidRPr="00576095" w:rsidRDefault="006D0E26" w:rsidP="00576095">
      <w:pPr>
        <w:spacing w:before="135" w:after="135" w:line="360" w:lineRule="auto"/>
        <w:jc w:val="both"/>
        <w:rPr>
          <w:rFonts w:ascii="Times New Roman" w:eastAsia="Times New Roman" w:hAnsi="Times New Roman" w:cs="Times New Roman"/>
          <w:sz w:val="24"/>
          <w:szCs w:val="24"/>
          <w:lang w:eastAsia="es-ES"/>
        </w:rPr>
      </w:pPr>
      <w:r>
        <w:rPr>
          <w:rFonts w:ascii="Times New Roman" w:hAnsi="Times New Roman" w:cs="Times New Roman"/>
          <w:sz w:val="24"/>
          <w:szCs w:val="24"/>
        </w:rPr>
        <w:t>Investigar</w:t>
      </w:r>
      <w:r w:rsidR="00576095">
        <w:rPr>
          <w:rFonts w:ascii="Times New Roman" w:hAnsi="Times New Roman" w:cs="Times New Roman"/>
          <w:sz w:val="24"/>
          <w:szCs w:val="24"/>
        </w:rPr>
        <w:t xml:space="preserve"> </w:t>
      </w:r>
      <w:hyperlink r:id="rId8" w:history="1">
        <w:r w:rsidR="00576095" w:rsidRPr="004C6E20">
          <w:rPr>
            <w:rFonts w:ascii="Times New Roman" w:eastAsia="Times New Roman" w:hAnsi="Times New Roman" w:cs="Times New Roman"/>
            <w:sz w:val="24"/>
            <w:szCs w:val="24"/>
            <w:lang w:eastAsia="es-ES"/>
          </w:rPr>
          <w:t>información</w:t>
        </w:r>
      </w:hyperlink>
      <w:r w:rsidR="00576095">
        <w:rPr>
          <w:rFonts w:ascii="Times New Roman" w:eastAsia="Times New Roman" w:hAnsi="Times New Roman" w:cs="Times New Roman"/>
          <w:sz w:val="24"/>
          <w:szCs w:val="24"/>
          <w:lang w:eastAsia="es-ES"/>
        </w:rPr>
        <w:t xml:space="preserve"> elemental </w:t>
      </w:r>
      <w:r w:rsidR="00576095" w:rsidRPr="004C6E20">
        <w:rPr>
          <w:rFonts w:ascii="Times New Roman" w:eastAsia="Times New Roman" w:hAnsi="Times New Roman" w:cs="Times New Roman"/>
          <w:sz w:val="24"/>
          <w:szCs w:val="24"/>
          <w:lang w:eastAsia="es-ES"/>
        </w:rPr>
        <w:t>res</w:t>
      </w:r>
      <w:r w:rsidR="00576095">
        <w:rPr>
          <w:rFonts w:ascii="Times New Roman" w:eastAsia="Times New Roman" w:hAnsi="Times New Roman" w:cs="Times New Roman"/>
          <w:sz w:val="24"/>
          <w:szCs w:val="24"/>
          <w:lang w:eastAsia="es-ES"/>
        </w:rPr>
        <w:t xml:space="preserve">pecto a las NIIF, PCGA y sus Limitaciones, sobre su concepto </w:t>
      </w:r>
      <w:r w:rsidR="00576095" w:rsidRPr="004C6E20">
        <w:rPr>
          <w:rFonts w:ascii="Times New Roman" w:eastAsia="Times New Roman" w:hAnsi="Times New Roman" w:cs="Times New Roman"/>
          <w:sz w:val="24"/>
          <w:szCs w:val="24"/>
          <w:lang w:eastAsia="es-ES"/>
        </w:rPr>
        <w:t xml:space="preserve">y </w:t>
      </w:r>
      <w:r w:rsidR="00576095">
        <w:rPr>
          <w:rFonts w:ascii="Times New Roman" w:eastAsia="Times New Roman" w:hAnsi="Times New Roman" w:cs="Times New Roman"/>
          <w:sz w:val="24"/>
          <w:szCs w:val="24"/>
          <w:lang w:eastAsia="es-ES"/>
        </w:rPr>
        <w:t xml:space="preserve">aplicación basada en referencias </w:t>
      </w:r>
      <w:r w:rsidR="00576095" w:rsidRPr="004C6E20">
        <w:rPr>
          <w:rFonts w:ascii="Times New Roman" w:eastAsia="Times New Roman" w:hAnsi="Times New Roman" w:cs="Times New Roman"/>
          <w:sz w:val="24"/>
          <w:szCs w:val="24"/>
          <w:lang w:eastAsia="es-ES"/>
        </w:rPr>
        <w:t>bibliográficas concernientes al tema.</w:t>
      </w:r>
    </w:p>
    <w:p w:rsidR="006D0E26" w:rsidRDefault="006D0E26" w:rsidP="006D0E26">
      <w:pPr>
        <w:spacing w:line="360" w:lineRule="auto"/>
        <w:jc w:val="both"/>
        <w:rPr>
          <w:rFonts w:ascii="Times New Roman" w:hAnsi="Times New Roman" w:cs="Times New Roman"/>
          <w:b/>
          <w:sz w:val="24"/>
          <w:szCs w:val="24"/>
        </w:rPr>
      </w:pPr>
      <w:r>
        <w:rPr>
          <w:rFonts w:ascii="Times New Roman" w:hAnsi="Times New Roman" w:cs="Times New Roman"/>
          <w:b/>
          <w:sz w:val="24"/>
          <w:szCs w:val="24"/>
        </w:rPr>
        <w:t>O. ESPECÍFICOS</w:t>
      </w:r>
    </w:p>
    <w:p w:rsidR="006D0E26" w:rsidRPr="00AC72B0" w:rsidRDefault="00556A01" w:rsidP="006D0E26">
      <w:pPr>
        <w:pStyle w:val="Prrafodelista"/>
        <w:numPr>
          <w:ilvl w:val="0"/>
          <w:numId w:val="1"/>
        </w:numPr>
        <w:spacing w:line="360" w:lineRule="auto"/>
        <w:jc w:val="both"/>
        <w:rPr>
          <w:rFonts w:ascii="Times New Roman" w:hAnsi="Times New Roman" w:cs="Times New Roman"/>
          <w:b/>
          <w:sz w:val="28"/>
          <w:szCs w:val="24"/>
        </w:rPr>
      </w:pPr>
      <w:r>
        <w:rPr>
          <w:rFonts w:ascii="Times New Roman" w:hAnsi="Times New Roman" w:cs="Times New Roman"/>
          <w:sz w:val="24"/>
        </w:rPr>
        <w:t xml:space="preserve">Dar a conocer </w:t>
      </w:r>
      <w:r w:rsidR="006D0E26" w:rsidRPr="004A758F">
        <w:rPr>
          <w:rFonts w:ascii="Times New Roman" w:hAnsi="Times New Roman" w:cs="Times New Roman"/>
          <w:sz w:val="24"/>
        </w:rPr>
        <w:t>cada</w:t>
      </w:r>
      <w:r>
        <w:rPr>
          <w:rFonts w:ascii="Times New Roman" w:hAnsi="Times New Roman" w:cs="Times New Roman"/>
          <w:sz w:val="24"/>
        </w:rPr>
        <w:t xml:space="preserve"> norma y principio </w:t>
      </w:r>
      <w:r w:rsidR="006D0E26" w:rsidRPr="004A758F">
        <w:rPr>
          <w:rFonts w:ascii="Times New Roman" w:hAnsi="Times New Roman" w:cs="Times New Roman"/>
          <w:sz w:val="24"/>
        </w:rPr>
        <w:t>de</w:t>
      </w:r>
      <w:r w:rsidR="006D0E26">
        <w:rPr>
          <w:rFonts w:ascii="Times New Roman" w:hAnsi="Times New Roman" w:cs="Times New Roman"/>
          <w:sz w:val="24"/>
        </w:rPr>
        <w:t>talladamente</w:t>
      </w:r>
      <w:r w:rsidR="006D0E26" w:rsidRPr="004A758F">
        <w:rPr>
          <w:rFonts w:ascii="Times New Roman" w:hAnsi="Times New Roman" w:cs="Times New Roman"/>
          <w:sz w:val="24"/>
        </w:rPr>
        <w:t>, para una mejor asimilación de ellos.</w:t>
      </w:r>
    </w:p>
    <w:p w:rsidR="00556A01" w:rsidRPr="00556A01" w:rsidRDefault="00556A01" w:rsidP="006D0E26">
      <w:pPr>
        <w:pStyle w:val="Prrafodelista"/>
        <w:numPr>
          <w:ilvl w:val="0"/>
          <w:numId w:val="1"/>
        </w:numPr>
        <w:spacing w:line="360" w:lineRule="auto"/>
        <w:jc w:val="both"/>
        <w:rPr>
          <w:rFonts w:ascii="Times New Roman" w:hAnsi="Times New Roman" w:cs="Times New Roman"/>
          <w:b/>
          <w:sz w:val="28"/>
          <w:szCs w:val="24"/>
        </w:rPr>
      </w:pPr>
      <w:r w:rsidRPr="00556A01">
        <w:rPr>
          <w:rFonts w:ascii="Times New Roman" w:hAnsi="Times New Roman" w:cs="Times New Roman"/>
          <w:sz w:val="24"/>
          <w:szCs w:val="24"/>
        </w:rPr>
        <w:t>Analizar la aplicación que poseen la</w:t>
      </w:r>
      <w:r w:rsidR="006D0E26" w:rsidRPr="00556A01">
        <w:rPr>
          <w:rFonts w:ascii="Times New Roman" w:hAnsi="Times New Roman" w:cs="Times New Roman"/>
          <w:sz w:val="24"/>
          <w:szCs w:val="24"/>
        </w:rPr>
        <w:t>s</w:t>
      </w:r>
      <w:r w:rsidRPr="00556A01">
        <w:rPr>
          <w:rFonts w:ascii="Times New Roman" w:hAnsi="Times New Roman" w:cs="Times New Roman"/>
          <w:sz w:val="24"/>
          <w:szCs w:val="24"/>
        </w:rPr>
        <w:t xml:space="preserve"> normas y</w:t>
      </w:r>
      <w:r w:rsidR="006D0E26" w:rsidRPr="00556A01">
        <w:rPr>
          <w:rFonts w:ascii="Times New Roman" w:hAnsi="Times New Roman" w:cs="Times New Roman"/>
          <w:sz w:val="24"/>
          <w:szCs w:val="24"/>
        </w:rPr>
        <w:t xml:space="preserve"> </w:t>
      </w:r>
      <w:r>
        <w:rPr>
          <w:rFonts w:ascii="Times New Roman" w:hAnsi="Times New Roman" w:cs="Times New Roman"/>
          <w:sz w:val="24"/>
          <w:szCs w:val="24"/>
        </w:rPr>
        <w:t xml:space="preserve">los </w:t>
      </w:r>
      <w:r w:rsidR="006D0E26" w:rsidRPr="00556A01">
        <w:rPr>
          <w:rFonts w:ascii="Times New Roman" w:hAnsi="Times New Roman" w:cs="Times New Roman"/>
          <w:sz w:val="24"/>
          <w:szCs w:val="24"/>
        </w:rPr>
        <w:t>principios</w:t>
      </w:r>
      <w:r>
        <w:rPr>
          <w:rFonts w:ascii="Times New Roman" w:hAnsi="Times New Roman" w:cs="Times New Roman"/>
          <w:sz w:val="24"/>
          <w:szCs w:val="24"/>
        </w:rPr>
        <w:t>.</w:t>
      </w:r>
    </w:p>
    <w:p w:rsidR="006D0E26" w:rsidRPr="00556A01" w:rsidRDefault="006D0E26" w:rsidP="006D0E26">
      <w:pPr>
        <w:pStyle w:val="Prrafodelista"/>
        <w:numPr>
          <w:ilvl w:val="0"/>
          <w:numId w:val="1"/>
        </w:numPr>
        <w:spacing w:line="360" w:lineRule="auto"/>
        <w:jc w:val="both"/>
        <w:rPr>
          <w:rFonts w:ascii="Times New Roman" w:hAnsi="Times New Roman" w:cs="Times New Roman"/>
          <w:b/>
          <w:sz w:val="28"/>
          <w:szCs w:val="24"/>
        </w:rPr>
      </w:pPr>
      <w:r w:rsidRPr="00556A01">
        <w:rPr>
          <w:rFonts w:ascii="Times New Roman" w:hAnsi="Times New Roman" w:cs="Times New Roman"/>
          <w:sz w:val="24"/>
          <w:szCs w:val="24"/>
        </w:rPr>
        <w:t xml:space="preserve">Lograr una mejor comprensión </w:t>
      </w:r>
      <w:r w:rsidR="00556A01">
        <w:rPr>
          <w:rFonts w:ascii="Times New Roman" w:hAnsi="Times New Roman" w:cs="Times New Roman"/>
          <w:sz w:val="24"/>
          <w:szCs w:val="24"/>
        </w:rPr>
        <w:t xml:space="preserve">de ello </w:t>
      </w:r>
      <w:r w:rsidRPr="00556A01">
        <w:rPr>
          <w:rFonts w:ascii="Times New Roman" w:hAnsi="Times New Roman" w:cs="Times New Roman"/>
          <w:sz w:val="24"/>
          <w:szCs w:val="24"/>
        </w:rPr>
        <w:t>mediante la información obtenida.</w:t>
      </w:r>
    </w:p>
    <w:p w:rsidR="006D0E26" w:rsidRDefault="006D0E26"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556A01">
      <w:pPr>
        <w:spacing w:line="360" w:lineRule="auto"/>
        <w:jc w:val="center"/>
        <w:rPr>
          <w:rFonts w:ascii="Rockwell" w:hAnsi="Rockwell" w:cs="Times New Roman"/>
          <w:b/>
          <w:color w:val="666699"/>
          <w:sz w:val="24"/>
        </w:rPr>
      </w:pPr>
      <w:r w:rsidRPr="00556A01">
        <w:rPr>
          <w:rFonts w:ascii="Rockwell" w:hAnsi="Rockwell" w:cs="Times New Roman"/>
          <w:b/>
          <w:color w:val="666699"/>
          <w:sz w:val="24"/>
        </w:rPr>
        <w:lastRenderedPageBreak/>
        <w:t>NORMAS INTERNACIONALES DE INFORMACIÓN FINANCIERA (NIIF)</w:t>
      </w:r>
    </w:p>
    <w:p w:rsidR="00556A01" w:rsidRDefault="004A6EB0" w:rsidP="00556A01">
      <w:pPr>
        <w:spacing w:line="360" w:lineRule="auto"/>
        <w:jc w:val="both"/>
        <w:rPr>
          <w:rFonts w:ascii="Times New Roman" w:hAnsi="Times New Roman" w:cs="Times New Roman"/>
          <w:b/>
          <w:color w:val="000000"/>
          <w:sz w:val="24"/>
          <w:szCs w:val="40"/>
        </w:rPr>
      </w:pPr>
      <w:r w:rsidRPr="004A6EB0">
        <w:rPr>
          <w:rFonts w:ascii="Times New Roman" w:hAnsi="Times New Roman" w:cs="Times New Roman"/>
          <w:b/>
        </w:rPr>
        <w:t xml:space="preserve">NIIF 1.- </w:t>
      </w:r>
      <w:r>
        <w:rPr>
          <w:rFonts w:ascii="Times New Roman" w:hAnsi="Times New Roman" w:cs="Times New Roman"/>
          <w:b/>
          <w:color w:val="000000"/>
          <w:sz w:val="24"/>
          <w:szCs w:val="40"/>
        </w:rPr>
        <w:t>Adopción por primera vez de las normas internacionales de información f</w:t>
      </w:r>
      <w:r w:rsidR="00556A01" w:rsidRPr="00556A01">
        <w:rPr>
          <w:rFonts w:ascii="Times New Roman" w:hAnsi="Times New Roman" w:cs="Times New Roman"/>
          <w:b/>
          <w:color w:val="000000"/>
          <w:sz w:val="24"/>
          <w:szCs w:val="40"/>
        </w:rPr>
        <w:t>inanciera</w:t>
      </w:r>
    </w:p>
    <w:p w:rsidR="00556A01" w:rsidRPr="00050F7F" w:rsidRDefault="00556A01" w:rsidP="004A6EB0">
      <w:pPr>
        <w:spacing w:before="100" w:beforeAutospacing="1" w:after="100" w:afterAutospacing="1" w:line="360" w:lineRule="auto"/>
        <w:jc w:val="both"/>
        <w:rPr>
          <w:rFonts w:ascii="Consolas" w:eastAsia="Times New Roman" w:hAnsi="Consolas" w:cs="Consolas"/>
          <w:b/>
          <w:color w:val="003366"/>
          <w:sz w:val="24"/>
          <w:szCs w:val="24"/>
          <w:lang w:eastAsia="es-EC"/>
        </w:rPr>
      </w:pPr>
      <w:r w:rsidRPr="00050F7F">
        <w:rPr>
          <w:rFonts w:ascii="Consolas" w:eastAsia="Times New Roman" w:hAnsi="Consolas" w:cs="Consolas"/>
          <w:b/>
          <w:color w:val="003366"/>
          <w:sz w:val="24"/>
          <w:szCs w:val="24"/>
          <w:lang w:eastAsia="es-EC"/>
        </w:rPr>
        <w:t>OBJETIVO</w:t>
      </w:r>
    </w:p>
    <w:p w:rsidR="00556A01" w:rsidRPr="00556A01" w:rsidRDefault="00556A01" w:rsidP="004A6EB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556A01">
        <w:rPr>
          <w:rFonts w:ascii="Times New Roman" w:eastAsia="Times New Roman" w:hAnsi="Times New Roman" w:cs="Times New Roman"/>
          <w:sz w:val="24"/>
          <w:szCs w:val="24"/>
          <w:lang w:eastAsia="es-EC"/>
        </w:rPr>
        <w:t>El objetivo de esta NIIF es asegurar que los primeros estados financieros con arreglo a las NIIF de una entidad, así como sus informes financieros intermedios, relativos a una parte del ejercicio cubierto por tales estados financieros, contienen información de alta calidad que:</w:t>
      </w:r>
    </w:p>
    <w:p w:rsidR="004A6EB0" w:rsidRDefault="00556A01" w:rsidP="004A6EB0">
      <w:pPr>
        <w:pStyle w:val="Prrafodelista"/>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4A6EB0">
        <w:rPr>
          <w:rFonts w:ascii="Times New Roman" w:eastAsia="Times New Roman" w:hAnsi="Times New Roman" w:cs="Times New Roman"/>
          <w:sz w:val="24"/>
          <w:szCs w:val="24"/>
        </w:rPr>
        <w:t>Sea</w:t>
      </w:r>
      <w:r w:rsidRPr="004A6EB0">
        <w:rPr>
          <w:rFonts w:ascii="Times New Roman" w:eastAsia="Times New Roman" w:hAnsi="Times New Roman" w:cs="Times New Roman"/>
          <w:sz w:val="24"/>
          <w:szCs w:val="24"/>
        </w:rPr>
        <w:t xml:space="preserve"> transparente para los usuarios y comparable para todos los ej</w:t>
      </w:r>
      <w:r w:rsidR="004A6EB0">
        <w:rPr>
          <w:rFonts w:ascii="Times New Roman" w:eastAsia="Times New Roman" w:hAnsi="Times New Roman" w:cs="Times New Roman"/>
          <w:sz w:val="24"/>
          <w:szCs w:val="24"/>
        </w:rPr>
        <w:t>ercicios que se presenten.</w:t>
      </w:r>
    </w:p>
    <w:p w:rsidR="004A6EB0" w:rsidRDefault="00556A01" w:rsidP="004A6EB0">
      <w:pPr>
        <w:pStyle w:val="Prrafodelista"/>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4A6EB0">
        <w:rPr>
          <w:rFonts w:ascii="Times New Roman" w:eastAsia="Times New Roman" w:hAnsi="Times New Roman" w:cs="Times New Roman"/>
          <w:sz w:val="24"/>
          <w:szCs w:val="24"/>
        </w:rPr>
        <w:t>S</w:t>
      </w:r>
      <w:r w:rsidRPr="004A6EB0">
        <w:rPr>
          <w:rFonts w:ascii="Times New Roman" w:eastAsia="Times New Roman" w:hAnsi="Times New Roman" w:cs="Times New Roman"/>
          <w:sz w:val="24"/>
          <w:szCs w:val="24"/>
        </w:rPr>
        <w:t>uministre un punto de partida adecuado para la contabilización según las Normas Internacionales de Inform</w:t>
      </w:r>
      <w:r w:rsidR="004A6EB0" w:rsidRPr="004A6EB0">
        <w:rPr>
          <w:rFonts w:ascii="Times New Roman" w:eastAsia="Times New Roman" w:hAnsi="Times New Roman" w:cs="Times New Roman"/>
          <w:sz w:val="24"/>
          <w:szCs w:val="24"/>
        </w:rPr>
        <w:t>ación Financiera (NIIF).</w:t>
      </w:r>
    </w:p>
    <w:p w:rsidR="00556A01" w:rsidRPr="004A6EB0" w:rsidRDefault="00556A01" w:rsidP="004A6EB0">
      <w:pPr>
        <w:pStyle w:val="Prrafodelista"/>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4A6EB0">
        <w:rPr>
          <w:rFonts w:ascii="Times New Roman" w:eastAsia="Times New Roman" w:hAnsi="Times New Roman" w:cs="Times New Roman"/>
          <w:sz w:val="24"/>
          <w:szCs w:val="24"/>
        </w:rPr>
        <w:t>P</w:t>
      </w:r>
      <w:r w:rsidRPr="004A6EB0">
        <w:rPr>
          <w:rFonts w:ascii="Times New Roman" w:eastAsia="Times New Roman" w:hAnsi="Times New Roman" w:cs="Times New Roman"/>
          <w:sz w:val="24"/>
          <w:szCs w:val="24"/>
        </w:rPr>
        <w:t>ueda ser obtenida a un coste que no exceda a los beneficios proporcionados a los usuarios.</w:t>
      </w:r>
    </w:p>
    <w:p w:rsidR="004A6EB0" w:rsidRPr="00050F7F" w:rsidRDefault="00556A01" w:rsidP="004A6EB0">
      <w:pPr>
        <w:spacing w:before="100" w:beforeAutospacing="1" w:after="100" w:afterAutospacing="1" w:line="360" w:lineRule="auto"/>
        <w:jc w:val="both"/>
        <w:outlineLvl w:val="1"/>
        <w:rPr>
          <w:rFonts w:ascii="Consolas" w:eastAsia="Times New Roman" w:hAnsi="Consolas" w:cs="Consolas"/>
          <w:b/>
          <w:bCs/>
          <w:color w:val="003366"/>
          <w:sz w:val="24"/>
          <w:szCs w:val="36"/>
          <w:lang w:eastAsia="es-EC"/>
        </w:rPr>
      </w:pPr>
      <w:r w:rsidRPr="00050F7F">
        <w:rPr>
          <w:rFonts w:ascii="Consolas" w:eastAsia="Times New Roman" w:hAnsi="Consolas" w:cs="Consolas"/>
          <w:b/>
          <w:bCs/>
          <w:color w:val="003366"/>
          <w:sz w:val="24"/>
          <w:szCs w:val="36"/>
          <w:lang w:eastAsia="es-EC"/>
        </w:rPr>
        <w:t>ALCANCE</w:t>
      </w:r>
    </w:p>
    <w:p w:rsidR="00556A01" w:rsidRPr="00556A01" w:rsidRDefault="00556A01" w:rsidP="004A6EB0">
      <w:pPr>
        <w:spacing w:before="100" w:beforeAutospacing="1" w:after="100" w:afterAutospacing="1" w:line="360" w:lineRule="auto"/>
        <w:jc w:val="both"/>
        <w:outlineLvl w:val="1"/>
        <w:rPr>
          <w:rFonts w:ascii="Times New Roman" w:eastAsia="Times New Roman" w:hAnsi="Times New Roman" w:cs="Times New Roman"/>
          <w:b/>
          <w:bCs/>
          <w:sz w:val="24"/>
          <w:szCs w:val="36"/>
          <w:lang w:eastAsia="es-EC"/>
        </w:rPr>
      </w:pPr>
      <w:r w:rsidRPr="00556A01">
        <w:rPr>
          <w:rFonts w:ascii="Times New Roman" w:eastAsia="Times New Roman" w:hAnsi="Times New Roman" w:cs="Times New Roman"/>
          <w:sz w:val="24"/>
          <w:szCs w:val="24"/>
          <w:lang w:eastAsia="es-EC"/>
        </w:rPr>
        <w:t>Una entidad aplicará esta NIIF en:</w:t>
      </w:r>
    </w:p>
    <w:p w:rsidR="004A6EB0" w:rsidRDefault="004A6EB0" w:rsidP="004A6EB0">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(a)</w:t>
      </w:r>
      <w:r w:rsidR="00816C2E">
        <w:rPr>
          <w:rFonts w:ascii="Times New Roman" w:eastAsia="Times New Roman" w:hAnsi="Times New Roman" w:cs="Times New Roman"/>
          <w:sz w:val="24"/>
          <w:szCs w:val="24"/>
          <w:lang w:eastAsia="es-EC"/>
        </w:rPr>
        <w:t xml:space="preserve"> </w:t>
      </w:r>
      <w:r>
        <w:rPr>
          <w:rFonts w:ascii="Times New Roman" w:eastAsia="Times New Roman" w:hAnsi="Times New Roman" w:cs="Times New Roman"/>
          <w:sz w:val="24"/>
          <w:szCs w:val="24"/>
          <w:lang w:eastAsia="es-EC"/>
        </w:rPr>
        <w:t>S</w:t>
      </w:r>
      <w:r w:rsidR="00556A01" w:rsidRPr="00556A01">
        <w:rPr>
          <w:rFonts w:ascii="Times New Roman" w:eastAsia="Times New Roman" w:hAnsi="Times New Roman" w:cs="Times New Roman"/>
          <w:sz w:val="24"/>
          <w:szCs w:val="24"/>
          <w:lang w:eastAsia="es-EC"/>
        </w:rPr>
        <w:t>us primeros estados financieros</w:t>
      </w:r>
      <w:r>
        <w:rPr>
          <w:rFonts w:ascii="Times New Roman" w:eastAsia="Times New Roman" w:hAnsi="Times New Roman" w:cs="Times New Roman"/>
          <w:sz w:val="24"/>
          <w:szCs w:val="24"/>
          <w:lang w:eastAsia="es-EC"/>
        </w:rPr>
        <w:t xml:space="preserve"> con arreglo a las NIIF.</w:t>
      </w:r>
    </w:p>
    <w:p w:rsidR="004A6EB0" w:rsidRDefault="004A6EB0" w:rsidP="004A6EB0">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(b)</w:t>
      </w:r>
      <w:r w:rsidR="00816C2E">
        <w:rPr>
          <w:rFonts w:ascii="Times New Roman" w:eastAsia="Times New Roman" w:hAnsi="Times New Roman" w:cs="Times New Roman"/>
          <w:sz w:val="24"/>
          <w:szCs w:val="24"/>
          <w:lang w:eastAsia="es-EC"/>
        </w:rPr>
        <w:t xml:space="preserve"> </w:t>
      </w:r>
      <w:r>
        <w:rPr>
          <w:rFonts w:ascii="Times New Roman" w:eastAsia="Times New Roman" w:hAnsi="Times New Roman" w:cs="Times New Roman"/>
          <w:sz w:val="24"/>
          <w:szCs w:val="24"/>
          <w:lang w:eastAsia="es-EC"/>
        </w:rPr>
        <w:t>E</w:t>
      </w:r>
      <w:r w:rsidR="00556A01" w:rsidRPr="00556A01">
        <w:rPr>
          <w:rFonts w:ascii="Times New Roman" w:eastAsia="Times New Roman" w:hAnsi="Times New Roman" w:cs="Times New Roman"/>
          <w:sz w:val="24"/>
          <w:szCs w:val="24"/>
          <w:lang w:eastAsia="es-EC"/>
        </w:rPr>
        <w:t>n cad</w:t>
      </w:r>
      <w:r>
        <w:rPr>
          <w:rFonts w:ascii="Times New Roman" w:eastAsia="Times New Roman" w:hAnsi="Times New Roman" w:cs="Times New Roman"/>
          <w:sz w:val="24"/>
          <w:szCs w:val="24"/>
          <w:lang w:eastAsia="es-EC"/>
        </w:rPr>
        <w:t>a informe financiero intermedio.</w:t>
      </w:r>
    </w:p>
    <w:p w:rsidR="004A6EB0" w:rsidRDefault="00556A01" w:rsidP="004A6EB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556A01">
        <w:rPr>
          <w:rFonts w:ascii="Times New Roman" w:eastAsia="Times New Roman" w:hAnsi="Times New Roman" w:cs="Times New Roman"/>
          <w:sz w:val="24"/>
          <w:szCs w:val="24"/>
          <w:lang w:eastAsia="es-EC"/>
        </w:rPr>
        <w:t xml:space="preserve">Los primeros estados financieros con arreglo a las NIIF son los primeros estados financieros anuales en los cuales la entidad adopta las NIIF, mediante una declaración, explícita y sin reservas, contenida en tales estados financieros, del cumplimiento con las NIIF. Los estados financieros con arreglo a las NIIF son los primeros estados financieros de una </w:t>
      </w:r>
      <w:r w:rsidR="004A6EB0">
        <w:rPr>
          <w:rFonts w:ascii="Times New Roman" w:eastAsia="Times New Roman" w:hAnsi="Times New Roman" w:cs="Times New Roman"/>
          <w:sz w:val="24"/>
          <w:szCs w:val="24"/>
          <w:lang w:eastAsia="es-EC"/>
        </w:rPr>
        <w:t>entidad según NIIF.</w:t>
      </w:r>
    </w:p>
    <w:p w:rsidR="00556A01" w:rsidRPr="00556A01" w:rsidRDefault="00556A01" w:rsidP="004A6EB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556A01">
        <w:rPr>
          <w:rFonts w:ascii="Times New Roman" w:eastAsia="Times New Roman" w:hAnsi="Times New Roman" w:cs="Times New Roman"/>
          <w:sz w:val="24"/>
          <w:szCs w:val="24"/>
          <w:lang w:eastAsia="es-EC"/>
        </w:rPr>
        <w:t>Esta NIIF se aplicará cuando una entidad a</w:t>
      </w:r>
      <w:r w:rsidR="004A6EB0">
        <w:rPr>
          <w:rFonts w:ascii="Times New Roman" w:eastAsia="Times New Roman" w:hAnsi="Times New Roman" w:cs="Times New Roman"/>
          <w:sz w:val="24"/>
          <w:szCs w:val="24"/>
          <w:lang w:eastAsia="es-EC"/>
        </w:rPr>
        <w:t>dopta por primera vez las NIIF.</w:t>
      </w:r>
    </w:p>
    <w:p w:rsidR="004A6EB0" w:rsidRDefault="004A6EB0" w:rsidP="004A6EB0">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lastRenderedPageBreak/>
        <w:t>NIIF 2.- Pagos basados en acciones</w:t>
      </w:r>
    </w:p>
    <w:p w:rsidR="004A6EB0" w:rsidRPr="00050F7F" w:rsidRDefault="004A6EB0" w:rsidP="00816C2E">
      <w:pPr>
        <w:spacing w:before="100" w:beforeAutospacing="1" w:after="100" w:afterAutospacing="1" w:line="360" w:lineRule="auto"/>
        <w:jc w:val="both"/>
        <w:rPr>
          <w:rFonts w:ascii="Consolas" w:eastAsia="Times New Roman" w:hAnsi="Consolas" w:cs="Consolas"/>
          <w:b/>
          <w:color w:val="003366"/>
          <w:sz w:val="24"/>
          <w:szCs w:val="24"/>
          <w:lang w:eastAsia="es-EC"/>
        </w:rPr>
      </w:pPr>
      <w:r w:rsidRPr="00050F7F">
        <w:rPr>
          <w:rFonts w:ascii="Consolas" w:eastAsia="Times New Roman" w:hAnsi="Consolas" w:cs="Consolas"/>
          <w:b/>
          <w:color w:val="003366"/>
          <w:sz w:val="24"/>
          <w:szCs w:val="24"/>
          <w:lang w:eastAsia="es-EC"/>
        </w:rPr>
        <w:t>OBJETIVO</w:t>
      </w:r>
    </w:p>
    <w:p w:rsidR="004A6EB0" w:rsidRPr="004A6EB0" w:rsidRDefault="004A6EB0" w:rsidP="00816C2E">
      <w:pPr>
        <w:spacing w:before="100" w:beforeAutospacing="1" w:after="100" w:afterAutospacing="1" w:line="360" w:lineRule="auto"/>
        <w:jc w:val="both"/>
        <w:rPr>
          <w:rFonts w:ascii="Times New Roman" w:eastAsia="Times New Roman" w:hAnsi="Times New Roman" w:cs="Times New Roman"/>
          <w:sz w:val="24"/>
          <w:szCs w:val="24"/>
          <w:lang w:eastAsia="es-EC"/>
        </w:rPr>
      </w:pPr>
      <w:r w:rsidRPr="004A6EB0">
        <w:rPr>
          <w:rFonts w:ascii="Times New Roman" w:eastAsia="Times New Roman" w:hAnsi="Times New Roman" w:cs="Times New Roman"/>
          <w:sz w:val="24"/>
          <w:szCs w:val="24"/>
          <w:lang w:eastAsia="es-EC"/>
        </w:rPr>
        <w:t>El objetivo de esta NIIF consiste en especificar la información financiera que ha de incluir una entidad cuando lleve a cabo una transacción con pagos basados en acciones. En concreto, requiere que la entidad refleje en el resultado del ejercicio y en su posición financiera, los efectos de las transacciones con pagos basados en acciones, incluyendo los gastos asociados a las transacciones en las que se conceden opciones sobre acciones a los empleados.</w:t>
      </w:r>
    </w:p>
    <w:p w:rsidR="004A6EB0" w:rsidRPr="00050F7F" w:rsidRDefault="00816C2E" w:rsidP="00816C2E">
      <w:pPr>
        <w:spacing w:before="100" w:beforeAutospacing="1" w:after="100" w:afterAutospacing="1" w:line="360" w:lineRule="auto"/>
        <w:jc w:val="both"/>
        <w:outlineLvl w:val="1"/>
        <w:rPr>
          <w:rFonts w:ascii="Consolas" w:eastAsia="Times New Roman" w:hAnsi="Consolas" w:cs="Consolas"/>
          <w:b/>
          <w:bCs/>
          <w:color w:val="003366"/>
          <w:sz w:val="24"/>
          <w:szCs w:val="36"/>
          <w:lang w:eastAsia="es-EC"/>
        </w:rPr>
      </w:pPr>
      <w:r w:rsidRPr="00050F7F">
        <w:rPr>
          <w:rFonts w:ascii="Consolas" w:eastAsia="Times New Roman" w:hAnsi="Consolas" w:cs="Consolas"/>
          <w:b/>
          <w:bCs/>
          <w:color w:val="003366"/>
          <w:sz w:val="24"/>
          <w:szCs w:val="36"/>
          <w:lang w:eastAsia="es-EC"/>
        </w:rPr>
        <w:t>ALCANCE</w:t>
      </w:r>
    </w:p>
    <w:p w:rsidR="004A6EB0" w:rsidRPr="004A6EB0" w:rsidRDefault="004A6EB0" w:rsidP="00816C2E">
      <w:pPr>
        <w:spacing w:before="100" w:beforeAutospacing="1" w:after="100" w:afterAutospacing="1" w:line="360" w:lineRule="auto"/>
        <w:jc w:val="both"/>
        <w:outlineLvl w:val="1"/>
        <w:rPr>
          <w:rFonts w:ascii="Times New Roman" w:eastAsia="Times New Roman" w:hAnsi="Times New Roman" w:cs="Times New Roman"/>
          <w:b/>
          <w:bCs/>
          <w:sz w:val="36"/>
          <w:szCs w:val="36"/>
          <w:lang w:eastAsia="es-EC"/>
        </w:rPr>
      </w:pPr>
      <w:r w:rsidRPr="004A6EB0">
        <w:rPr>
          <w:rFonts w:ascii="Times New Roman" w:eastAsia="Times New Roman" w:hAnsi="Times New Roman" w:cs="Times New Roman"/>
          <w:sz w:val="24"/>
          <w:szCs w:val="24"/>
          <w:lang w:eastAsia="es-EC"/>
        </w:rPr>
        <w:t>La entidad aplicará esta NIIF en la contabilización de todas las transacciones con pagos basados en acciones, incluyendo:</w:t>
      </w:r>
    </w:p>
    <w:p w:rsidR="004A6EB0" w:rsidRPr="004A6EB0" w:rsidRDefault="00816C2E" w:rsidP="00816C2E">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(a) T</w:t>
      </w:r>
      <w:r w:rsidR="004A6EB0" w:rsidRPr="004A6EB0">
        <w:rPr>
          <w:rFonts w:ascii="Times New Roman" w:eastAsia="Times New Roman" w:hAnsi="Times New Roman" w:cs="Times New Roman"/>
          <w:sz w:val="24"/>
          <w:szCs w:val="24"/>
          <w:lang w:eastAsia="es-EC"/>
        </w:rPr>
        <w:t>ransacciones con pagos basados en acciones liquidados mediante instrumentos de patrimonio, en las que la entidad reciba bienes o servicios a cambio de instrumentos de patrimonio de la misma (incluyendo acciones u opciones sobre acciones),</w:t>
      </w:r>
    </w:p>
    <w:p w:rsidR="004A6EB0" w:rsidRPr="004A6EB0" w:rsidRDefault="00816C2E" w:rsidP="00816C2E">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(b) T</w:t>
      </w:r>
      <w:r w:rsidR="004A6EB0" w:rsidRPr="004A6EB0">
        <w:rPr>
          <w:rFonts w:ascii="Times New Roman" w:eastAsia="Times New Roman" w:hAnsi="Times New Roman" w:cs="Times New Roman"/>
          <w:sz w:val="24"/>
          <w:szCs w:val="24"/>
          <w:lang w:eastAsia="es-EC"/>
        </w:rPr>
        <w:t>ransacciones con pagos basados en acciones liquidados en efectivo, en las que la entidad adquiera bienes o servicios, incurriendo en pasivos con el proveedor de esos bienes o servicios por importes que se basen en el precio (o en el valor) de las acciones de la entidad o de otros instrumentos de patrimonio de la misma, y</w:t>
      </w:r>
    </w:p>
    <w:p w:rsidR="008E5C97" w:rsidRDefault="00816C2E" w:rsidP="008E5C97">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(c) T</w:t>
      </w:r>
      <w:r w:rsidR="004A6EB0" w:rsidRPr="004A6EB0">
        <w:rPr>
          <w:rFonts w:ascii="Times New Roman" w:eastAsia="Times New Roman" w:hAnsi="Times New Roman" w:cs="Times New Roman"/>
          <w:sz w:val="24"/>
          <w:szCs w:val="24"/>
          <w:lang w:eastAsia="es-EC"/>
        </w:rPr>
        <w:t>ransacciones en las que la entidad reciba o adquiera bienes o servicios, y los términos del acuerdo proporcionen a la entidad o al proveedor de dichos bienes o servicios, la opción de liquidar la transacción en efectivo (o con otros activos) o mediante la emisión de instrumentos de patrimonio.</w:t>
      </w:r>
    </w:p>
    <w:p w:rsidR="008E5C97" w:rsidRDefault="008E5C97" w:rsidP="008E5C97">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p>
    <w:p w:rsidR="0085030D" w:rsidRPr="008E5C97" w:rsidRDefault="0085030D" w:rsidP="008E5C97">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t xml:space="preserve"> </w:t>
      </w:r>
    </w:p>
    <w:p w:rsidR="0085030D" w:rsidRDefault="0085030D" w:rsidP="0085030D">
      <w:pPr>
        <w:pStyle w:val="NormalWeb"/>
        <w:spacing w:line="360" w:lineRule="auto"/>
        <w:jc w:val="both"/>
        <w:rPr>
          <w:b/>
        </w:rPr>
      </w:pPr>
      <w:r>
        <w:rPr>
          <w:b/>
        </w:rPr>
        <w:lastRenderedPageBreak/>
        <w:t xml:space="preserve">NIIF 3.- </w:t>
      </w:r>
      <w:r w:rsidR="00AC5B0C">
        <w:rPr>
          <w:b/>
        </w:rPr>
        <w:t>Combinaciones de negocios</w:t>
      </w:r>
    </w:p>
    <w:p w:rsidR="00AC5B0C" w:rsidRPr="00050F7F" w:rsidRDefault="00AC5B0C" w:rsidP="00AC5B0C">
      <w:pPr>
        <w:pStyle w:val="NormalWeb"/>
        <w:spacing w:line="360" w:lineRule="auto"/>
        <w:jc w:val="both"/>
        <w:rPr>
          <w:rFonts w:ascii="Consolas" w:hAnsi="Consolas" w:cs="Consolas"/>
          <w:b/>
          <w:color w:val="003366"/>
        </w:rPr>
      </w:pPr>
      <w:r w:rsidRPr="00050F7F">
        <w:rPr>
          <w:rFonts w:ascii="Consolas" w:hAnsi="Consolas" w:cs="Consolas"/>
          <w:b/>
          <w:color w:val="003366"/>
        </w:rPr>
        <w:t>OBJETIVO</w:t>
      </w:r>
    </w:p>
    <w:p w:rsidR="00AC5B0C" w:rsidRPr="00AC5B0C" w:rsidRDefault="00AC5B0C" w:rsidP="00AC5B0C">
      <w:pPr>
        <w:spacing w:before="100" w:beforeAutospacing="1" w:after="100" w:afterAutospacing="1" w:line="360" w:lineRule="auto"/>
        <w:jc w:val="both"/>
        <w:rPr>
          <w:rFonts w:ascii="Times New Roman" w:eastAsia="Times New Roman" w:hAnsi="Times New Roman" w:cs="Times New Roman"/>
          <w:sz w:val="24"/>
          <w:szCs w:val="24"/>
          <w:lang w:eastAsia="es-EC"/>
        </w:rPr>
      </w:pPr>
      <w:r w:rsidRPr="00AC5B0C">
        <w:rPr>
          <w:rFonts w:ascii="Times New Roman" w:eastAsia="Times New Roman" w:hAnsi="Times New Roman" w:cs="Times New Roman"/>
          <w:sz w:val="24"/>
          <w:szCs w:val="24"/>
          <w:lang w:eastAsia="es-EC"/>
        </w:rPr>
        <w:t>El objetivo de esta NIIF es mejorar la relevancia, fiabilidad y comparabilidad de la información sobre combinaciones de negocios y sus efectos que una entidad que informa proporciona en sus estados financieros. Para la consecución del señalado objetivo esta NIIF establece principios y requerimientos sobre cómo la entidad adquirente:</w:t>
      </w:r>
    </w:p>
    <w:p w:rsidR="00AC5B0C" w:rsidRPr="00AC5B0C" w:rsidRDefault="00734EA6" w:rsidP="00AC5B0C">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a)</w:t>
      </w:r>
      <w:r w:rsidR="008E5C97">
        <w:rPr>
          <w:rFonts w:ascii="Times New Roman" w:eastAsia="Times New Roman" w:hAnsi="Times New Roman" w:cs="Times New Roman"/>
          <w:sz w:val="24"/>
          <w:szCs w:val="24"/>
          <w:lang w:eastAsia="es-EC"/>
        </w:rPr>
        <w:t xml:space="preserve"> </w:t>
      </w:r>
      <w:r>
        <w:rPr>
          <w:rFonts w:ascii="Times New Roman" w:eastAsia="Times New Roman" w:hAnsi="Times New Roman" w:cs="Times New Roman"/>
          <w:sz w:val="24"/>
          <w:szCs w:val="24"/>
          <w:lang w:eastAsia="es-EC"/>
        </w:rPr>
        <w:t>R</w:t>
      </w:r>
      <w:r w:rsidR="00AC5B0C" w:rsidRPr="00AC5B0C">
        <w:rPr>
          <w:rFonts w:ascii="Times New Roman" w:eastAsia="Times New Roman" w:hAnsi="Times New Roman" w:cs="Times New Roman"/>
          <w:sz w:val="24"/>
          <w:szCs w:val="24"/>
          <w:lang w:eastAsia="es-EC"/>
        </w:rPr>
        <w:t>econocerá y valorará en sus estados financieros los activos adquiridos identificables, los pasivos asumidos y cualquier participación no do</w:t>
      </w:r>
      <w:r>
        <w:rPr>
          <w:rFonts w:ascii="Times New Roman" w:eastAsia="Times New Roman" w:hAnsi="Times New Roman" w:cs="Times New Roman"/>
          <w:sz w:val="24"/>
          <w:szCs w:val="24"/>
          <w:lang w:eastAsia="es-EC"/>
        </w:rPr>
        <w:t>minante en la entidad adquirida.</w:t>
      </w:r>
    </w:p>
    <w:p w:rsidR="00AC5B0C" w:rsidRPr="00AC5B0C" w:rsidRDefault="00734EA6" w:rsidP="00AC5B0C">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b) R</w:t>
      </w:r>
      <w:r w:rsidR="00AC5B0C" w:rsidRPr="00AC5B0C">
        <w:rPr>
          <w:rFonts w:ascii="Times New Roman" w:eastAsia="Times New Roman" w:hAnsi="Times New Roman" w:cs="Times New Roman"/>
          <w:sz w:val="24"/>
          <w:szCs w:val="24"/>
          <w:lang w:eastAsia="es-EC"/>
        </w:rPr>
        <w:t>econocerá y valorará el fondo de comercio adquirido en la combinación de negocios o una ganancia procedente de una compra</w:t>
      </w:r>
      <w:r>
        <w:rPr>
          <w:rFonts w:ascii="Times New Roman" w:eastAsia="Times New Roman" w:hAnsi="Times New Roman" w:cs="Times New Roman"/>
          <w:sz w:val="24"/>
          <w:szCs w:val="24"/>
          <w:lang w:eastAsia="es-EC"/>
        </w:rPr>
        <w:t xml:space="preserve"> en condiciones muy ventajosas.</w:t>
      </w:r>
    </w:p>
    <w:p w:rsidR="00AC5B0C" w:rsidRPr="00AC5B0C" w:rsidRDefault="00734EA6" w:rsidP="00AC5B0C">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c) D</w:t>
      </w:r>
      <w:r w:rsidR="00AC5B0C" w:rsidRPr="00AC5B0C">
        <w:rPr>
          <w:rFonts w:ascii="Times New Roman" w:eastAsia="Times New Roman" w:hAnsi="Times New Roman" w:cs="Times New Roman"/>
          <w:sz w:val="24"/>
          <w:szCs w:val="24"/>
          <w:lang w:eastAsia="es-EC"/>
        </w:rPr>
        <w:t>eterminará qué información se ha de revelar para permitir a los usuarios de los estados financieros evaluar la naturaleza y los efectos financieros de la combinación de negocios.</w:t>
      </w:r>
    </w:p>
    <w:p w:rsidR="00AC5B0C" w:rsidRPr="00050F7F" w:rsidRDefault="00AC5B0C" w:rsidP="00AC5B0C">
      <w:pPr>
        <w:spacing w:before="100" w:beforeAutospacing="1" w:after="100" w:afterAutospacing="1" w:line="360" w:lineRule="auto"/>
        <w:jc w:val="both"/>
        <w:outlineLvl w:val="1"/>
        <w:rPr>
          <w:rFonts w:ascii="Consolas" w:eastAsia="Times New Roman" w:hAnsi="Consolas" w:cs="Consolas"/>
          <w:b/>
          <w:bCs/>
          <w:color w:val="003366"/>
          <w:sz w:val="24"/>
          <w:szCs w:val="36"/>
          <w:lang w:eastAsia="es-EC"/>
        </w:rPr>
      </w:pPr>
      <w:r w:rsidRPr="00050F7F">
        <w:rPr>
          <w:rFonts w:ascii="Consolas" w:eastAsia="Times New Roman" w:hAnsi="Consolas" w:cs="Consolas"/>
          <w:b/>
          <w:bCs/>
          <w:color w:val="003366"/>
          <w:sz w:val="24"/>
          <w:szCs w:val="36"/>
          <w:lang w:eastAsia="es-EC"/>
        </w:rPr>
        <w:t>ALCANCE</w:t>
      </w:r>
    </w:p>
    <w:p w:rsidR="00AC5B0C" w:rsidRPr="00AC5B0C" w:rsidRDefault="00AC5B0C" w:rsidP="00AC5B0C">
      <w:pPr>
        <w:spacing w:before="100" w:beforeAutospacing="1" w:after="100" w:afterAutospacing="1" w:line="360" w:lineRule="auto"/>
        <w:jc w:val="both"/>
        <w:outlineLvl w:val="1"/>
        <w:rPr>
          <w:rFonts w:ascii="Times New Roman" w:eastAsia="Times New Roman" w:hAnsi="Times New Roman" w:cs="Times New Roman"/>
          <w:b/>
          <w:bCs/>
          <w:sz w:val="36"/>
          <w:szCs w:val="36"/>
          <w:lang w:eastAsia="es-EC"/>
        </w:rPr>
      </w:pPr>
      <w:r w:rsidRPr="00AC5B0C">
        <w:rPr>
          <w:rFonts w:ascii="Times New Roman" w:eastAsia="Times New Roman" w:hAnsi="Times New Roman" w:cs="Times New Roman"/>
          <w:sz w:val="24"/>
          <w:szCs w:val="24"/>
          <w:lang w:eastAsia="es-EC"/>
        </w:rPr>
        <w:t>Esta NIIF se aplicará a una transacción u otro suceso que cumpla la definición de una combinación de negocios. Esta NIIF no se aplicará a:</w:t>
      </w:r>
    </w:p>
    <w:p w:rsidR="00AC5B0C" w:rsidRPr="00AC5B0C" w:rsidRDefault="00734EA6" w:rsidP="00AC5B0C">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a) L</w:t>
      </w:r>
      <w:r w:rsidR="00AC5B0C" w:rsidRPr="00AC5B0C">
        <w:rPr>
          <w:rFonts w:ascii="Times New Roman" w:eastAsia="Times New Roman" w:hAnsi="Times New Roman" w:cs="Times New Roman"/>
          <w:sz w:val="24"/>
          <w:szCs w:val="24"/>
          <w:lang w:eastAsia="es-EC"/>
        </w:rPr>
        <w:t>a formación de un negocio conjunto.</w:t>
      </w:r>
    </w:p>
    <w:p w:rsidR="00AC5B0C" w:rsidRPr="00AC5B0C" w:rsidRDefault="00734EA6" w:rsidP="00AC5B0C">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b) L</w:t>
      </w:r>
      <w:r w:rsidR="00AC5B0C" w:rsidRPr="00AC5B0C">
        <w:rPr>
          <w:rFonts w:ascii="Times New Roman" w:eastAsia="Times New Roman" w:hAnsi="Times New Roman" w:cs="Times New Roman"/>
          <w:sz w:val="24"/>
          <w:szCs w:val="24"/>
          <w:lang w:eastAsia="es-EC"/>
        </w:rPr>
        <w:t>a adquisición de un activo o un grupo de activos que no constituya un negocio. En estos casos la entidad adquirente identificará y reconocerá los activos identificables indivi</w:t>
      </w:r>
      <w:r>
        <w:rPr>
          <w:rFonts w:ascii="Times New Roman" w:eastAsia="Times New Roman" w:hAnsi="Times New Roman" w:cs="Times New Roman"/>
          <w:sz w:val="24"/>
          <w:szCs w:val="24"/>
          <w:lang w:eastAsia="es-EC"/>
        </w:rPr>
        <w:t xml:space="preserve">dualmente adquiridos </w:t>
      </w:r>
      <w:r w:rsidR="00AC5B0C" w:rsidRPr="00AC5B0C">
        <w:rPr>
          <w:rFonts w:ascii="Times New Roman" w:eastAsia="Times New Roman" w:hAnsi="Times New Roman" w:cs="Times New Roman"/>
          <w:sz w:val="24"/>
          <w:szCs w:val="24"/>
          <w:lang w:eastAsia="es-EC"/>
        </w:rPr>
        <w:t xml:space="preserve">y pasivos asumidos. El coste del grupo deberá distribuirse entre los activos identificables individualmente y los pasivos sobre la base de sus valores razonables relativos en la fecha de la compra. </w:t>
      </w:r>
    </w:p>
    <w:p w:rsidR="00734EA6" w:rsidRDefault="00734EA6" w:rsidP="00734EA6">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c) U</w:t>
      </w:r>
      <w:r w:rsidR="00AC5B0C" w:rsidRPr="00AC5B0C">
        <w:rPr>
          <w:rFonts w:ascii="Times New Roman" w:eastAsia="Times New Roman" w:hAnsi="Times New Roman" w:cs="Times New Roman"/>
          <w:sz w:val="24"/>
          <w:szCs w:val="24"/>
          <w:lang w:eastAsia="es-EC"/>
        </w:rPr>
        <w:t>na combinación de entidade</w:t>
      </w:r>
      <w:r>
        <w:rPr>
          <w:rFonts w:ascii="Times New Roman" w:eastAsia="Times New Roman" w:hAnsi="Times New Roman" w:cs="Times New Roman"/>
          <w:sz w:val="24"/>
          <w:szCs w:val="24"/>
          <w:lang w:eastAsia="es-EC"/>
        </w:rPr>
        <w:t>s o negocios bajo control común.</w:t>
      </w:r>
    </w:p>
    <w:p w:rsidR="00734EA6" w:rsidRDefault="00734EA6" w:rsidP="00734EA6">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lastRenderedPageBreak/>
        <w:t>NIIF 4.- Contratos de seguros</w:t>
      </w:r>
    </w:p>
    <w:p w:rsidR="00734EA6" w:rsidRPr="00050F7F" w:rsidRDefault="00734EA6" w:rsidP="00734EA6">
      <w:pPr>
        <w:spacing w:before="100" w:beforeAutospacing="1" w:after="100" w:afterAutospacing="1" w:line="360" w:lineRule="auto"/>
        <w:jc w:val="both"/>
        <w:rPr>
          <w:rFonts w:ascii="Consolas" w:eastAsia="Times New Roman" w:hAnsi="Consolas" w:cs="Consolas"/>
          <w:b/>
          <w:color w:val="003366"/>
          <w:sz w:val="24"/>
          <w:szCs w:val="24"/>
          <w:lang w:eastAsia="es-EC"/>
        </w:rPr>
      </w:pPr>
      <w:r w:rsidRPr="00050F7F">
        <w:rPr>
          <w:rFonts w:ascii="Consolas" w:eastAsia="Times New Roman" w:hAnsi="Consolas" w:cs="Consolas"/>
          <w:b/>
          <w:color w:val="003366"/>
          <w:sz w:val="24"/>
          <w:szCs w:val="24"/>
          <w:lang w:eastAsia="es-EC"/>
        </w:rPr>
        <w:t>OBJETIVO</w:t>
      </w:r>
    </w:p>
    <w:p w:rsidR="00734EA6" w:rsidRPr="00734EA6" w:rsidRDefault="00734EA6" w:rsidP="00734EA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734EA6">
        <w:rPr>
          <w:rFonts w:ascii="Times New Roman" w:eastAsia="Times New Roman" w:hAnsi="Times New Roman" w:cs="Times New Roman"/>
          <w:sz w:val="24"/>
          <w:szCs w:val="24"/>
          <w:lang w:eastAsia="es-EC"/>
        </w:rPr>
        <w:t>El objetivo de esta NIIF consiste en especificar la información financiera que debe ofrecer, sobre los contratos de seguro, la entidad emisora de dichos contratos (que en esta NIIF se denomina aseguradora), hasta que el Consejo complete la segunda fase de este proyecto sobre contratos de seguro. En particular, esta NIIF requiere:</w:t>
      </w:r>
    </w:p>
    <w:p w:rsidR="00734EA6" w:rsidRPr="00734EA6" w:rsidRDefault="00734EA6" w:rsidP="00734EA6">
      <w:pPr>
        <w:pStyle w:val="Prrafodelista"/>
        <w:numPr>
          <w:ilvl w:val="0"/>
          <w:numId w:val="3"/>
        </w:numPr>
        <w:spacing w:before="100" w:beforeAutospacing="1" w:after="100" w:afterAutospacing="1" w:line="360" w:lineRule="auto"/>
        <w:jc w:val="both"/>
        <w:rPr>
          <w:rFonts w:ascii="Times New Roman" w:eastAsia="Times New Roman" w:hAnsi="Times New Roman" w:cs="Times New Roman"/>
          <w:sz w:val="24"/>
          <w:szCs w:val="24"/>
        </w:rPr>
      </w:pPr>
      <w:r w:rsidRPr="00734EA6">
        <w:rPr>
          <w:rFonts w:ascii="Times New Roman" w:eastAsia="Times New Roman" w:hAnsi="Times New Roman" w:cs="Times New Roman"/>
          <w:sz w:val="24"/>
          <w:szCs w:val="24"/>
        </w:rPr>
        <w:t>Realizar un conjunto de mejoras limitadas en la contabilización de los contratos de seguro por parte de las aseguradoras.</w:t>
      </w:r>
    </w:p>
    <w:p w:rsidR="00734EA6" w:rsidRPr="00734EA6" w:rsidRDefault="00734EA6" w:rsidP="00734EA6">
      <w:pPr>
        <w:pStyle w:val="Prrafodelista"/>
        <w:numPr>
          <w:ilvl w:val="0"/>
          <w:numId w:val="3"/>
        </w:numPr>
        <w:spacing w:before="100" w:beforeAutospacing="1" w:after="100" w:afterAutospacing="1" w:line="360" w:lineRule="auto"/>
        <w:jc w:val="both"/>
        <w:rPr>
          <w:rFonts w:ascii="Times New Roman" w:eastAsia="Times New Roman" w:hAnsi="Times New Roman" w:cs="Times New Roman"/>
          <w:sz w:val="24"/>
          <w:szCs w:val="24"/>
        </w:rPr>
      </w:pPr>
      <w:r w:rsidRPr="00734EA6">
        <w:rPr>
          <w:rFonts w:ascii="Times New Roman" w:eastAsia="Times New Roman" w:hAnsi="Times New Roman" w:cs="Times New Roman"/>
          <w:sz w:val="24"/>
          <w:szCs w:val="24"/>
        </w:rPr>
        <w:t>Revelar información, en los estados financieros de la aseguradora, que identifique y explique los importes que se derivan de los contratos de seguro, a la vez que ayude a los usuarios de dichos estados a comprender el importe, calendario e incertidumbre de los flujos de efectivo futuros procedentes de esos contratos.</w:t>
      </w:r>
    </w:p>
    <w:p w:rsidR="00734EA6" w:rsidRPr="00050F7F" w:rsidRDefault="00734EA6" w:rsidP="00734EA6">
      <w:pPr>
        <w:spacing w:before="100" w:beforeAutospacing="1" w:after="100" w:afterAutospacing="1" w:line="360" w:lineRule="auto"/>
        <w:jc w:val="both"/>
        <w:outlineLvl w:val="1"/>
        <w:rPr>
          <w:rFonts w:ascii="Consolas" w:eastAsia="Times New Roman" w:hAnsi="Consolas" w:cs="Consolas"/>
          <w:b/>
          <w:bCs/>
          <w:color w:val="003366"/>
          <w:sz w:val="24"/>
          <w:szCs w:val="36"/>
          <w:lang w:eastAsia="es-EC"/>
        </w:rPr>
      </w:pPr>
      <w:r w:rsidRPr="00050F7F">
        <w:rPr>
          <w:rFonts w:ascii="Consolas" w:eastAsia="Times New Roman" w:hAnsi="Consolas" w:cs="Consolas"/>
          <w:b/>
          <w:bCs/>
          <w:color w:val="003366"/>
          <w:sz w:val="24"/>
          <w:szCs w:val="36"/>
          <w:lang w:eastAsia="es-EC"/>
        </w:rPr>
        <w:t>ALCANCE</w:t>
      </w:r>
    </w:p>
    <w:p w:rsidR="00734EA6" w:rsidRPr="00734EA6" w:rsidRDefault="00734EA6" w:rsidP="00734EA6">
      <w:pPr>
        <w:spacing w:before="100" w:beforeAutospacing="1" w:after="100" w:afterAutospacing="1" w:line="360" w:lineRule="auto"/>
        <w:jc w:val="both"/>
        <w:outlineLvl w:val="1"/>
        <w:rPr>
          <w:rFonts w:ascii="Times New Roman" w:eastAsia="Times New Roman" w:hAnsi="Times New Roman" w:cs="Times New Roman"/>
          <w:b/>
          <w:bCs/>
          <w:sz w:val="24"/>
          <w:szCs w:val="36"/>
          <w:lang w:eastAsia="es-EC"/>
        </w:rPr>
      </w:pPr>
      <w:r w:rsidRPr="00734EA6">
        <w:rPr>
          <w:rFonts w:ascii="Times New Roman" w:eastAsia="Times New Roman" w:hAnsi="Times New Roman" w:cs="Times New Roman"/>
          <w:sz w:val="24"/>
          <w:szCs w:val="24"/>
          <w:lang w:eastAsia="es-EC"/>
        </w:rPr>
        <w:t>La entidad aplicará esta NIIF a los:</w:t>
      </w:r>
    </w:p>
    <w:p w:rsidR="00734EA6" w:rsidRPr="00734EA6" w:rsidRDefault="00734EA6" w:rsidP="00734EA6">
      <w:pPr>
        <w:pStyle w:val="Prrafodelista"/>
        <w:numPr>
          <w:ilvl w:val="0"/>
          <w:numId w:val="4"/>
        </w:numPr>
        <w:spacing w:before="100" w:beforeAutospacing="1" w:after="100" w:afterAutospacing="1" w:line="360" w:lineRule="auto"/>
        <w:jc w:val="both"/>
        <w:rPr>
          <w:rFonts w:ascii="Times New Roman" w:eastAsia="Times New Roman" w:hAnsi="Times New Roman" w:cs="Times New Roman"/>
          <w:sz w:val="24"/>
          <w:szCs w:val="24"/>
        </w:rPr>
      </w:pPr>
      <w:r w:rsidRPr="00734EA6">
        <w:rPr>
          <w:rFonts w:ascii="Times New Roman" w:eastAsia="Times New Roman" w:hAnsi="Times New Roman" w:cs="Times New Roman"/>
          <w:sz w:val="24"/>
          <w:szCs w:val="24"/>
        </w:rPr>
        <w:t>Contratos de seguro (incluyendo también los contratos de reaseguro que acepte) que emita y los contratos de reaseguro que ceda.</w:t>
      </w:r>
    </w:p>
    <w:p w:rsidR="00734EA6" w:rsidRDefault="00734EA6" w:rsidP="00734EA6">
      <w:pPr>
        <w:pStyle w:val="Prrafodelista"/>
        <w:numPr>
          <w:ilvl w:val="0"/>
          <w:numId w:val="4"/>
        </w:numPr>
        <w:spacing w:before="100" w:beforeAutospacing="1" w:after="100" w:afterAutospacing="1" w:line="360" w:lineRule="auto"/>
        <w:jc w:val="both"/>
        <w:rPr>
          <w:rFonts w:ascii="Times New Roman" w:eastAsia="Times New Roman" w:hAnsi="Times New Roman" w:cs="Times New Roman"/>
          <w:sz w:val="24"/>
          <w:szCs w:val="24"/>
        </w:rPr>
      </w:pPr>
      <w:r w:rsidRPr="00734EA6">
        <w:rPr>
          <w:rFonts w:ascii="Times New Roman" w:eastAsia="Times New Roman" w:hAnsi="Times New Roman" w:cs="Times New Roman"/>
          <w:sz w:val="24"/>
          <w:szCs w:val="24"/>
        </w:rPr>
        <w:t>Instrumentos financieros que emita con un componente de participación discrecional La NIIF 7 Instrumentos financieros: Información a revelar requiere la revelación de información sobre los instrumentos financieros, incluyendo los instrumentos que contengan dicho componente.</w:t>
      </w:r>
    </w:p>
    <w:p w:rsidR="00734EA6" w:rsidRDefault="00734EA6" w:rsidP="00734EA6">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NIIF 5.- Activos no corrientes mantenidos para la venta y operaciones interrumpidas</w:t>
      </w:r>
    </w:p>
    <w:p w:rsidR="00734EA6" w:rsidRPr="00050F7F" w:rsidRDefault="00734EA6" w:rsidP="00734EA6">
      <w:pPr>
        <w:spacing w:before="100" w:beforeAutospacing="1" w:after="100" w:afterAutospacing="1" w:line="360" w:lineRule="auto"/>
        <w:jc w:val="both"/>
        <w:rPr>
          <w:rFonts w:ascii="Consolas" w:eastAsia="Times New Roman" w:hAnsi="Consolas" w:cs="Consolas"/>
          <w:b/>
          <w:color w:val="003366"/>
          <w:sz w:val="24"/>
          <w:szCs w:val="24"/>
          <w:lang w:eastAsia="es-EC"/>
        </w:rPr>
      </w:pPr>
      <w:r w:rsidRPr="00050F7F">
        <w:rPr>
          <w:rFonts w:ascii="Consolas" w:eastAsia="Times New Roman" w:hAnsi="Consolas" w:cs="Consolas"/>
          <w:b/>
          <w:color w:val="003366"/>
          <w:sz w:val="24"/>
          <w:szCs w:val="24"/>
          <w:lang w:eastAsia="es-EC"/>
        </w:rPr>
        <w:t>OBJETIVO</w:t>
      </w:r>
    </w:p>
    <w:p w:rsidR="00734EA6" w:rsidRPr="00734EA6" w:rsidRDefault="00734EA6" w:rsidP="00734EA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734EA6">
        <w:rPr>
          <w:rFonts w:ascii="Times New Roman" w:eastAsia="Times New Roman" w:hAnsi="Times New Roman" w:cs="Times New Roman"/>
          <w:sz w:val="24"/>
          <w:szCs w:val="24"/>
          <w:lang w:eastAsia="es-EC"/>
        </w:rPr>
        <w:t>El objetivo de esta NIIF es especificar el tratamiento contable de los activos mantenidos para la venta, así como la presentación e información a revelar sobre las actividades interrumpidas. En concreto, esta NIIF requiere:</w:t>
      </w:r>
    </w:p>
    <w:p w:rsidR="00734EA6" w:rsidRPr="00734EA6" w:rsidRDefault="00734EA6" w:rsidP="00734EA6">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lastRenderedPageBreak/>
        <w:t>(a) L</w:t>
      </w:r>
      <w:r w:rsidRPr="00734EA6">
        <w:rPr>
          <w:rFonts w:ascii="Times New Roman" w:eastAsia="Times New Roman" w:hAnsi="Times New Roman" w:cs="Times New Roman"/>
          <w:sz w:val="24"/>
          <w:szCs w:val="24"/>
          <w:lang w:eastAsia="es-EC"/>
        </w:rPr>
        <w:t>os activos que cumplan los requisitos para ser clasificados como mantenidos para la venta, sean valorados al menor valor entre su importe en libros y su valor razonable menos los costes de venta, así como que cese la amortiza</w:t>
      </w:r>
      <w:r>
        <w:rPr>
          <w:rFonts w:ascii="Times New Roman" w:eastAsia="Times New Roman" w:hAnsi="Times New Roman" w:cs="Times New Roman"/>
          <w:sz w:val="24"/>
          <w:szCs w:val="24"/>
          <w:lang w:eastAsia="es-EC"/>
        </w:rPr>
        <w:t xml:space="preserve">ción de dichos activos; y </w:t>
      </w:r>
      <w:r>
        <w:rPr>
          <w:rFonts w:ascii="Times New Roman" w:eastAsia="Times New Roman" w:hAnsi="Times New Roman" w:cs="Times New Roman"/>
          <w:sz w:val="24"/>
          <w:szCs w:val="24"/>
          <w:lang w:eastAsia="es-EC"/>
        </w:rPr>
        <w:br/>
        <w:t>(b) L</w:t>
      </w:r>
      <w:r w:rsidRPr="00734EA6">
        <w:rPr>
          <w:rFonts w:ascii="Times New Roman" w:eastAsia="Times New Roman" w:hAnsi="Times New Roman" w:cs="Times New Roman"/>
          <w:sz w:val="24"/>
          <w:szCs w:val="24"/>
          <w:lang w:eastAsia="es-EC"/>
        </w:rPr>
        <w:t>os activos que cumplan los requisitos para ser clasificados como mantenidos para la venta, se presenten de forma separada en el balance, y que los resultados de las actividades interrumpidas se presenten por separado en la cuenta de resultados.</w:t>
      </w:r>
    </w:p>
    <w:p w:rsidR="00734EA6" w:rsidRPr="00050F7F" w:rsidRDefault="00734EA6" w:rsidP="00734EA6">
      <w:pPr>
        <w:spacing w:before="100" w:beforeAutospacing="1" w:after="100" w:afterAutospacing="1" w:line="360" w:lineRule="auto"/>
        <w:jc w:val="both"/>
        <w:outlineLvl w:val="1"/>
        <w:rPr>
          <w:rFonts w:ascii="Consolas" w:eastAsia="Times New Roman" w:hAnsi="Consolas" w:cs="Consolas"/>
          <w:b/>
          <w:bCs/>
          <w:color w:val="003366"/>
          <w:sz w:val="24"/>
          <w:szCs w:val="36"/>
          <w:lang w:eastAsia="es-EC"/>
        </w:rPr>
      </w:pPr>
      <w:r w:rsidRPr="00050F7F">
        <w:rPr>
          <w:rFonts w:ascii="Consolas" w:eastAsia="Times New Roman" w:hAnsi="Consolas" w:cs="Consolas"/>
          <w:b/>
          <w:bCs/>
          <w:color w:val="003366"/>
          <w:sz w:val="24"/>
          <w:szCs w:val="36"/>
          <w:lang w:eastAsia="es-EC"/>
        </w:rPr>
        <w:t>ALCANCE</w:t>
      </w:r>
    </w:p>
    <w:p w:rsidR="00734EA6" w:rsidRPr="00734EA6" w:rsidRDefault="00734EA6" w:rsidP="00734EA6">
      <w:pPr>
        <w:spacing w:before="100" w:beforeAutospacing="1" w:after="100" w:afterAutospacing="1" w:line="360" w:lineRule="auto"/>
        <w:jc w:val="both"/>
        <w:outlineLvl w:val="1"/>
        <w:rPr>
          <w:rFonts w:ascii="Times New Roman" w:eastAsia="Times New Roman" w:hAnsi="Times New Roman" w:cs="Times New Roman"/>
          <w:b/>
          <w:bCs/>
          <w:sz w:val="24"/>
          <w:szCs w:val="36"/>
          <w:lang w:eastAsia="es-EC"/>
        </w:rPr>
      </w:pPr>
      <w:r w:rsidRPr="00734EA6">
        <w:rPr>
          <w:rFonts w:ascii="Times New Roman" w:eastAsia="Times New Roman" w:hAnsi="Times New Roman" w:cs="Times New Roman"/>
          <w:sz w:val="24"/>
          <w:szCs w:val="24"/>
          <w:lang w:eastAsia="es-EC"/>
        </w:rPr>
        <w:t>Los requisitos de clasificación y presentación de esta NIIF se aplicarán a tod</w:t>
      </w:r>
      <w:r>
        <w:rPr>
          <w:rFonts w:ascii="Times New Roman" w:eastAsia="Times New Roman" w:hAnsi="Times New Roman" w:cs="Times New Roman"/>
          <w:sz w:val="24"/>
          <w:szCs w:val="24"/>
          <w:lang w:eastAsia="es-EC"/>
        </w:rPr>
        <w:t>os los activos no corrientes</w:t>
      </w:r>
      <w:r w:rsidRPr="00734EA6">
        <w:rPr>
          <w:rFonts w:ascii="Times New Roman" w:eastAsia="Times New Roman" w:hAnsi="Times New Roman" w:cs="Times New Roman"/>
          <w:sz w:val="24"/>
          <w:szCs w:val="24"/>
          <w:lang w:eastAsia="es-EC"/>
        </w:rPr>
        <w:t xml:space="preserve"> reconocidos, y a todos los grupos enajenables de elementos de la entidad. Los requisitos de valoración de esta NIIF se aplicarán a todos los activos no corrientes reconocidos y a los </w:t>
      </w:r>
      <w:r w:rsidR="009C12EF">
        <w:rPr>
          <w:rFonts w:ascii="Times New Roman" w:eastAsia="Times New Roman" w:hAnsi="Times New Roman" w:cs="Times New Roman"/>
          <w:sz w:val="24"/>
          <w:szCs w:val="24"/>
          <w:lang w:eastAsia="es-EC"/>
        </w:rPr>
        <w:t>grupos enajenables de elementos.</w:t>
      </w:r>
    </w:p>
    <w:p w:rsidR="009C12EF" w:rsidRDefault="00734EA6" w:rsidP="00734EA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734EA6">
        <w:rPr>
          <w:rFonts w:ascii="Times New Roman" w:eastAsia="Times New Roman" w:hAnsi="Times New Roman" w:cs="Times New Roman"/>
          <w:sz w:val="24"/>
          <w:szCs w:val="24"/>
          <w:lang w:eastAsia="es-EC"/>
        </w:rPr>
        <w:t xml:space="preserve">En ocasiones, una entidad enajena o dispone por otra vía, de un grupo de activos, posiblemente con algún pasivo directamente asociado, de forma conjunta, en una sola transacción. </w:t>
      </w:r>
    </w:p>
    <w:p w:rsidR="00734EA6" w:rsidRDefault="008E5C97" w:rsidP="00734EA6">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NIIF 6.- Exploración y evaluación de recursos minerales</w:t>
      </w:r>
    </w:p>
    <w:p w:rsidR="008E5C97" w:rsidRPr="00050F7F" w:rsidRDefault="008E5C97" w:rsidP="00734EA6">
      <w:pPr>
        <w:spacing w:before="100" w:beforeAutospacing="1" w:after="100" w:afterAutospacing="1" w:line="360" w:lineRule="auto"/>
        <w:jc w:val="both"/>
        <w:rPr>
          <w:rFonts w:ascii="Consolas" w:eastAsia="Times New Roman" w:hAnsi="Consolas" w:cs="Consolas"/>
          <w:b/>
          <w:color w:val="003366"/>
          <w:sz w:val="24"/>
          <w:szCs w:val="24"/>
          <w:lang w:eastAsia="es-EC"/>
        </w:rPr>
      </w:pPr>
      <w:r w:rsidRPr="00050F7F">
        <w:rPr>
          <w:rFonts w:ascii="Consolas" w:eastAsia="Times New Roman" w:hAnsi="Consolas" w:cs="Consolas"/>
          <w:b/>
          <w:color w:val="003366"/>
          <w:sz w:val="24"/>
          <w:szCs w:val="24"/>
          <w:lang w:eastAsia="es-EC"/>
        </w:rPr>
        <w:t>OBJETIVO</w:t>
      </w:r>
    </w:p>
    <w:p w:rsidR="00E62596" w:rsidRDefault="008E5C97" w:rsidP="008E5C97">
      <w:pPr>
        <w:spacing w:before="100" w:beforeAutospacing="1" w:after="100" w:afterAutospacing="1" w:line="360" w:lineRule="auto"/>
        <w:jc w:val="both"/>
        <w:rPr>
          <w:rFonts w:ascii="Times New Roman" w:eastAsia="Times New Roman" w:hAnsi="Times New Roman" w:cs="Times New Roman"/>
          <w:sz w:val="24"/>
          <w:szCs w:val="24"/>
          <w:lang w:eastAsia="es-EC"/>
        </w:rPr>
      </w:pPr>
      <w:r w:rsidRPr="008E5C97">
        <w:rPr>
          <w:rFonts w:ascii="Times New Roman" w:eastAsia="Times New Roman" w:hAnsi="Times New Roman" w:cs="Times New Roman"/>
          <w:sz w:val="24"/>
          <w:szCs w:val="24"/>
          <w:lang w:eastAsia="es-EC"/>
        </w:rPr>
        <w:t>El objetivo de esta NIIF es especificar la información financiera relativa a la exploración y la evaluación de recursos minerales.</w:t>
      </w:r>
    </w:p>
    <w:p w:rsidR="008E5C97" w:rsidRPr="008E5C97" w:rsidRDefault="008E5C97" w:rsidP="008E5C97">
      <w:pPr>
        <w:spacing w:before="100" w:beforeAutospacing="1" w:after="100" w:afterAutospacing="1" w:line="360" w:lineRule="auto"/>
        <w:jc w:val="both"/>
        <w:rPr>
          <w:rFonts w:ascii="Times New Roman" w:eastAsia="Times New Roman" w:hAnsi="Times New Roman" w:cs="Times New Roman"/>
          <w:sz w:val="24"/>
          <w:szCs w:val="24"/>
          <w:lang w:eastAsia="es-EC"/>
        </w:rPr>
      </w:pPr>
      <w:r w:rsidRPr="008E5C97">
        <w:rPr>
          <w:rFonts w:ascii="Times New Roman" w:eastAsia="Times New Roman" w:hAnsi="Times New Roman" w:cs="Times New Roman"/>
          <w:sz w:val="24"/>
          <w:szCs w:val="24"/>
          <w:lang w:eastAsia="es-EC"/>
        </w:rPr>
        <w:t>En concreto, esta NIIF requiere:</w:t>
      </w:r>
    </w:p>
    <w:p w:rsidR="00E62596" w:rsidRPr="00E62596" w:rsidRDefault="00E62596" w:rsidP="00E62596">
      <w:pPr>
        <w:pStyle w:val="Prrafodelista"/>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E62596">
        <w:rPr>
          <w:rFonts w:ascii="Times New Roman" w:eastAsia="Times New Roman" w:hAnsi="Times New Roman" w:cs="Times New Roman"/>
          <w:sz w:val="24"/>
          <w:szCs w:val="24"/>
        </w:rPr>
        <w:t>D</w:t>
      </w:r>
      <w:r w:rsidR="008E5C97" w:rsidRPr="00E62596">
        <w:rPr>
          <w:rFonts w:ascii="Times New Roman" w:eastAsia="Times New Roman" w:hAnsi="Times New Roman" w:cs="Times New Roman"/>
          <w:sz w:val="24"/>
          <w:szCs w:val="24"/>
        </w:rPr>
        <w:t xml:space="preserve">eterminadas mejoras en las prácticas contables existentes para los desembolsos relacionados </w:t>
      </w:r>
      <w:r w:rsidRPr="00E62596">
        <w:rPr>
          <w:rFonts w:ascii="Times New Roman" w:eastAsia="Times New Roman" w:hAnsi="Times New Roman" w:cs="Times New Roman"/>
          <w:sz w:val="24"/>
          <w:szCs w:val="24"/>
        </w:rPr>
        <w:t>con la exploración y evaluación.</w:t>
      </w:r>
    </w:p>
    <w:p w:rsidR="00E62596" w:rsidRDefault="00E62596" w:rsidP="00E62596">
      <w:pPr>
        <w:pStyle w:val="Prrafodelista"/>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w:t>
      </w:r>
      <w:r w:rsidR="008E5C97" w:rsidRPr="00E62596">
        <w:rPr>
          <w:rFonts w:ascii="Times New Roman" w:eastAsia="Times New Roman" w:hAnsi="Times New Roman" w:cs="Times New Roman"/>
          <w:sz w:val="24"/>
          <w:szCs w:val="24"/>
        </w:rPr>
        <w:t>ue las entidades que reconozcan activos para exploración y evaluación realicen una comprobación del deterioro del valor de los mismos de acuerdo con esta NIIF, y valoren el posible deterioro de acuerdo con la NIC 36 Dete</w:t>
      </w:r>
      <w:r>
        <w:rPr>
          <w:rFonts w:ascii="Times New Roman" w:eastAsia="Times New Roman" w:hAnsi="Times New Roman" w:cs="Times New Roman"/>
          <w:sz w:val="24"/>
          <w:szCs w:val="24"/>
        </w:rPr>
        <w:t>rioro del valor de los activos.</w:t>
      </w:r>
    </w:p>
    <w:p w:rsidR="008E5C97" w:rsidRPr="00E62596" w:rsidRDefault="00E62596" w:rsidP="00E62596">
      <w:pPr>
        <w:pStyle w:val="Prrafodelista"/>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w:t>
      </w:r>
      <w:r w:rsidR="008E5C97" w:rsidRPr="00E62596">
        <w:rPr>
          <w:rFonts w:ascii="Times New Roman" w:eastAsia="Times New Roman" w:hAnsi="Times New Roman" w:cs="Times New Roman"/>
          <w:sz w:val="24"/>
          <w:szCs w:val="24"/>
        </w:rPr>
        <w:t>evelar información que identifique y explique los importes que surjan, en los estados financieros de la entidad, derivados de la exploración y evaluación de recursos minerales, a la vez que ayude a los usuarios de esos estados financieros a comprender el importe, calendario y certidumbre asociados a los flujos de efectivo futuros de los activos para exploración y evaluación reconocidos.</w:t>
      </w:r>
    </w:p>
    <w:p w:rsidR="008E5C97" w:rsidRPr="008E5C97" w:rsidRDefault="008E5C97" w:rsidP="008E5C97">
      <w:pPr>
        <w:spacing w:before="100" w:beforeAutospacing="1" w:after="100" w:afterAutospacing="1" w:line="360" w:lineRule="auto"/>
        <w:jc w:val="both"/>
        <w:outlineLvl w:val="1"/>
        <w:rPr>
          <w:rFonts w:ascii="Consolas" w:eastAsia="Times New Roman" w:hAnsi="Consolas" w:cs="Consolas"/>
          <w:b/>
          <w:bCs/>
          <w:color w:val="003366"/>
          <w:sz w:val="24"/>
          <w:szCs w:val="36"/>
          <w:lang w:eastAsia="es-EC"/>
        </w:rPr>
      </w:pPr>
      <w:r w:rsidRPr="00050F7F">
        <w:rPr>
          <w:rFonts w:ascii="Consolas" w:eastAsia="Times New Roman" w:hAnsi="Consolas" w:cs="Consolas"/>
          <w:b/>
          <w:bCs/>
          <w:color w:val="003366"/>
          <w:sz w:val="24"/>
          <w:szCs w:val="36"/>
          <w:lang w:eastAsia="es-EC"/>
        </w:rPr>
        <w:t>ALCANCE</w:t>
      </w:r>
    </w:p>
    <w:p w:rsidR="00E62596" w:rsidRDefault="008E5C97" w:rsidP="00E6259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8E5C97">
        <w:rPr>
          <w:rFonts w:ascii="Times New Roman" w:eastAsia="Times New Roman" w:hAnsi="Times New Roman" w:cs="Times New Roman"/>
          <w:sz w:val="24"/>
          <w:szCs w:val="24"/>
          <w:lang w:eastAsia="es-EC"/>
        </w:rPr>
        <w:t>Una entidad aplicará esta NIIF a los desembolsos relacionados con la exploración y evaluación en los que incurra.</w:t>
      </w:r>
      <w:r w:rsidR="00E62596">
        <w:rPr>
          <w:rFonts w:ascii="Times New Roman" w:eastAsia="Times New Roman" w:hAnsi="Times New Roman" w:cs="Times New Roman"/>
          <w:sz w:val="24"/>
          <w:szCs w:val="24"/>
          <w:lang w:eastAsia="es-EC"/>
        </w:rPr>
        <w:t xml:space="preserve"> </w:t>
      </w:r>
      <w:r w:rsidRPr="008E5C97">
        <w:rPr>
          <w:rFonts w:ascii="Times New Roman" w:eastAsia="Times New Roman" w:hAnsi="Times New Roman" w:cs="Times New Roman"/>
          <w:sz w:val="24"/>
          <w:szCs w:val="24"/>
          <w:lang w:eastAsia="es-EC"/>
        </w:rPr>
        <w:t>La NIIF no aborda otros aspectos relativos a la contabilización de las entidades dedicadas a la exploración y evaluación de recursos minerales.</w:t>
      </w:r>
    </w:p>
    <w:p w:rsidR="00E62596" w:rsidRDefault="00E62596" w:rsidP="00E62596">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NIIF 7.- Instrumentos financieros: Información a revelar</w:t>
      </w:r>
    </w:p>
    <w:p w:rsidR="00E62596" w:rsidRPr="00050F7F" w:rsidRDefault="00E62596" w:rsidP="00E62596">
      <w:pPr>
        <w:spacing w:before="100" w:beforeAutospacing="1" w:after="100" w:afterAutospacing="1" w:line="360" w:lineRule="auto"/>
        <w:jc w:val="both"/>
        <w:rPr>
          <w:rFonts w:ascii="Consolas" w:eastAsia="Times New Roman" w:hAnsi="Consolas" w:cs="Consolas"/>
          <w:b/>
          <w:color w:val="003366"/>
          <w:sz w:val="24"/>
          <w:szCs w:val="24"/>
          <w:lang w:eastAsia="es-EC"/>
        </w:rPr>
      </w:pPr>
      <w:r w:rsidRPr="00050F7F">
        <w:rPr>
          <w:rFonts w:ascii="Consolas" w:eastAsia="Times New Roman" w:hAnsi="Consolas" w:cs="Consolas"/>
          <w:b/>
          <w:color w:val="003366"/>
          <w:sz w:val="24"/>
          <w:szCs w:val="24"/>
          <w:lang w:eastAsia="es-EC"/>
        </w:rPr>
        <w:t>OBJETIVO</w:t>
      </w:r>
    </w:p>
    <w:p w:rsidR="00E62596" w:rsidRPr="00E62596" w:rsidRDefault="00E62596" w:rsidP="00E6259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E62596">
        <w:rPr>
          <w:rFonts w:ascii="Times New Roman" w:eastAsia="Times New Roman" w:hAnsi="Times New Roman" w:cs="Times New Roman"/>
          <w:sz w:val="24"/>
          <w:szCs w:val="24"/>
          <w:lang w:eastAsia="es-EC"/>
        </w:rPr>
        <w:t>El objetivo de esta NIIF es requerir a las entidades que, en sus estados financieros, revelen información que permita a los usuarios evaluar:</w:t>
      </w:r>
    </w:p>
    <w:p w:rsidR="00E62596" w:rsidRPr="00E62596" w:rsidRDefault="00E62596" w:rsidP="00E62596">
      <w:pPr>
        <w:pStyle w:val="Prrafodelista"/>
        <w:numPr>
          <w:ilvl w:val="0"/>
          <w:numId w:val="7"/>
        </w:numPr>
        <w:spacing w:before="100" w:beforeAutospacing="1" w:after="100" w:afterAutospacing="1" w:line="360" w:lineRule="auto"/>
        <w:jc w:val="both"/>
        <w:rPr>
          <w:rFonts w:ascii="Times New Roman" w:eastAsia="Times New Roman" w:hAnsi="Times New Roman" w:cs="Times New Roman"/>
          <w:sz w:val="24"/>
          <w:szCs w:val="24"/>
        </w:rPr>
      </w:pPr>
      <w:r w:rsidRPr="00E62596">
        <w:rPr>
          <w:rFonts w:ascii="Times New Roman" w:eastAsia="Times New Roman" w:hAnsi="Times New Roman" w:cs="Times New Roman"/>
          <w:sz w:val="24"/>
          <w:szCs w:val="24"/>
        </w:rPr>
        <w:t>La</w:t>
      </w:r>
      <w:r w:rsidRPr="00E62596">
        <w:rPr>
          <w:rFonts w:ascii="Times New Roman" w:eastAsia="Times New Roman" w:hAnsi="Times New Roman" w:cs="Times New Roman"/>
          <w:sz w:val="24"/>
          <w:szCs w:val="24"/>
        </w:rPr>
        <w:t xml:space="preserve"> relevancia de los instrumentos financieros en la situación financiera y en el ren</w:t>
      </w:r>
      <w:r w:rsidRPr="00E62596">
        <w:rPr>
          <w:rFonts w:ascii="Times New Roman" w:eastAsia="Times New Roman" w:hAnsi="Times New Roman" w:cs="Times New Roman"/>
          <w:sz w:val="24"/>
          <w:szCs w:val="24"/>
        </w:rPr>
        <w:t>dimiento de la entidad.</w:t>
      </w:r>
    </w:p>
    <w:p w:rsidR="00E62596" w:rsidRPr="00E62596" w:rsidRDefault="00E62596" w:rsidP="00E62596">
      <w:pPr>
        <w:pStyle w:val="Prrafodelista"/>
        <w:numPr>
          <w:ilvl w:val="0"/>
          <w:numId w:val="7"/>
        </w:numPr>
        <w:spacing w:before="100" w:beforeAutospacing="1" w:after="100" w:afterAutospacing="1" w:line="360" w:lineRule="auto"/>
        <w:jc w:val="both"/>
        <w:rPr>
          <w:rFonts w:ascii="Times New Roman" w:eastAsia="Times New Roman" w:hAnsi="Times New Roman" w:cs="Times New Roman"/>
          <w:sz w:val="24"/>
          <w:szCs w:val="24"/>
        </w:rPr>
      </w:pPr>
      <w:r w:rsidRPr="00E62596">
        <w:rPr>
          <w:rFonts w:ascii="Times New Roman" w:eastAsia="Times New Roman" w:hAnsi="Times New Roman" w:cs="Times New Roman"/>
          <w:sz w:val="24"/>
          <w:szCs w:val="24"/>
        </w:rPr>
        <w:t>L</w:t>
      </w:r>
      <w:r w:rsidRPr="00E62596">
        <w:rPr>
          <w:rFonts w:ascii="Times New Roman" w:eastAsia="Times New Roman" w:hAnsi="Times New Roman" w:cs="Times New Roman"/>
          <w:sz w:val="24"/>
          <w:szCs w:val="24"/>
        </w:rPr>
        <w:t>a naturaleza y alcance de los riesgos procedentes de los instrumentos financieros a los que la entidad se haya expuesto durante el ejercicio y en la fecha de presentación, así como la forma de gestionar dichos riesgos.</w:t>
      </w:r>
    </w:p>
    <w:p w:rsidR="00E62596" w:rsidRPr="00050F7F" w:rsidRDefault="00E62596" w:rsidP="00E62596">
      <w:pPr>
        <w:spacing w:before="100" w:beforeAutospacing="1" w:after="100" w:afterAutospacing="1" w:line="360" w:lineRule="auto"/>
        <w:jc w:val="both"/>
        <w:outlineLvl w:val="1"/>
        <w:rPr>
          <w:rFonts w:ascii="Consolas" w:eastAsia="Times New Roman" w:hAnsi="Consolas" w:cs="Consolas"/>
          <w:b/>
          <w:bCs/>
          <w:color w:val="003366"/>
          <w:sz w:val="24"/>
          <w:szCs w:val="36"/>
          <w:lang w:eastAsia="es-EC"/>
        </w:rPr>
      </w:pPr>
      <w:r w:rsidRPr="00050F7F">
        <w:rPr>
          <w:rFonts w:ascii="Consolas" w:eastAsia="Times New Roman" w:hAnsi="Consolas" w:cs="Consolas"/>
          <w:b/>
          <w:bCs/>
          <w:color w:val="003366"/>
          <w:sz w:val="24"/>
          <w:szCs w:val="36"/>
          <w:lang w:eastAsia="es-EC"/>
        </w:rPr>
        <w:t>ALCANCE</w:t>
      </w:r>
    </w:p>
    <w:p w:rsidR="00E62596" w:rsidRPr="00E62596" w:rsidRDefault="00E62596" w:rsidP="00E62596">
      <w:pPr>
        <w:spacing w:before="100" w:beforeAutospacing="1" w:after="100" w:afterAutospacing="1" w:line="360" w:lineRule="auto"/>
        <w:jc w:val="both"/>
        <w:outlineLvl w:val="1"/>
        <w:rPr>
          <w:rFonts w:ascii="Times New Roman" w:eastAsia="Times New Roman" w:hAnsi="Times New Roman" w:cs="Times New Roman"/>
          <w:sz w:val="24"/>
          <w:szCs w:val="24"/>
          <w:lang w:eastAsia="es-EC"/>
        </w:rPr>
      </w:pPr>
      <w:r w:rsidRPr="00E62596">
        <w:rPr>
          <w:rFonts w:ascii="Times New Roman" w:eastAsia="Times New Roman" w:hAnsi="Times New Roman" w:cs="Times New Roman"/>
          <w:sz w:val="24"/>
          <w:szCs w:val="24"/>
          <w:lang w:eastAsia="es-EC"/>
        </w:rPr>
        <w:t>Esta NIIF se aplicará tanto a los instrumentos financieros que se reconozcan contablemente como a los que no se reconozcan. Los instrumentos financieros reconocidos comprenden activos fi</w:t>
      </w:r>
      <w:r>
        <w:rPr>
          <w:rFonts w:ascii="Times New Roman" w:eastAsia="Times New Roman" w:hAnsi="Times New Roman" w:cs="Times New Roman"/>
          <w:sz w:val="24"/>
          <w:szCs w:val="24"/>
          <w:lang w:eastAsia="es-EC"/>
        </w:rPr>
        <w:t xml:space="preserve">nancieros y pasivos financieros. </w:t>
      </w:r>
      <w:r w:rsidRPr="00E62596">
        <w:rPr>
          <w:rFonts w:ascii="Times New Roman" w:eastAsia="Times New Roman" w:hAnsi="Times New Roman" w:cs="Times New Roman"/>
          <w:sz w:val="24"/>
          <w:szCs w:val="24"/>
          <w:lang w:eastAsia="es-EC"/>
        </w:rPr>
        <w:t>Los instrumentos financieros no reconocidos comprenden a</w:t>
      </w:r>
      <w:r>
        <w:rPr>
          <w:rFonts w:ascii="Times New Roman" w:eastAsia="Times New Roman" w:hAnsi="Times New Roman" w:cs="Times New Roman"/>
          <w:sz w:val="24"/>
          <w:szCs w:val="24"/>
          <w:lang w:eastAsia="es-EC"/>
        </w:rPr>
        <w:t>lgunos instrumentos financieros.</w:t>
      </w:r>
    </w:p>
    <w:p w:rsidR="00E62596" w:rsidRDefault="00E62596" w:rsidP="00E6259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E62596">
        <w:rPr>
          <w:rFonts w:ascii="Times New Roman" w:eastAsia="Times New Roman" w:hAnsi="Times New Roman" w:cs="Times New Roman"/>
          <w:sz w:val="24"/>
          <w:szCs w:val="24"/>
          <w:lang w:eastAsia="es-EC"/>
        </w:rPr>
        <w:t>Esta NIIF es aplicable a los contratos de compra o de ve</w:t>
      </w:r>
      <w:r>
        <w:rPr>
          <w:rFonts w:ascii="Times New Roman" w:eastAsia="Times New Roman" w:hAnsi="Times New Roman" w:cs="Times New Roman"/>
          <w:sz w:val="24"/>
          <w:szCs w:val="24"/>
          <w:lang w:eastAsia="es-EC"/>
        </w:rPr>
        <w:t>nta de elementos no financieros.</w:t>
      </w:r>
    </w:p>
    <w:p w:rsidR="00E62596" w:rsidRDefault="00E62596" w:rsidP="00E62596">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lastRenderedPageBreak/>
        <w:t>NIIF 8.- Segmentos de Operación</w:t>
      </w:r>
    </w:p>
    <w:p w:rsidR="00E62596" w:rsidRPr="00050F7F" w:rsidRDefault="00E62596" w:rsidP="00E62596">
      <w:pPr>
        <w:spacing w:before="100" w:beforeAutospacing="1" w:after="100" w:afterAutospacing="1" w:line="360" w:lineRule="auto"/>
        <w:jc w:val="both"/>
        <w:rPr>
          <w:rFonts w:ascii="Consolas" w:eastAsia="Times New Roman" w:hAnsi="Consolas" w:cs="Consolas"/>
          <w:b/>
          <w:color w:val="003366"/>
          <w:sz w:val="24"/>
          <w:szCs w:val="24"/>
          <w:lang w:eastAsia="es-EC"/>
        </w:rPr>
      </w:pPr>
      <w:r w:rsidRPr="00050F7F">
        <w:rPr>
          <w:rFonts w:ascii="Consolas" w:eastAsia="Times New Roman" w:hAnsi="Consolas" w:cs="Consolas"/>
          <w:b/>
          <w:color w:val="003366"/>
          <w:sz w:val="24"/>
          <w:szCs w:val="24"/>
          <w:lang w:eastAsia="es-EC"/>
        </w:rPr>
        <w:t>OBJETIVO</w:t>
      </w:r>
    </w:p>
    <w:p w:rsidR="00E62596" w:rsidRPr="00E62596" w:rsidRDefault="00E62596" w:rsidP="00753344">
      <w:pPr>
        <w:spacing w:before="100" w:beforeAutospacing="1" w:after="100" w:afterAutospacing="1" w:line="360" w:lineRule="auto"/>
        <w:jc w:val="both"/>
        <w:rPr>
          <w:rFonts w:ascii="Times New Roman" w:eastAsia="Times New Roman" w:hAnsi="Times New Roman" w:cs="Times New Roman"/>
          <w:sz w:val="24"/>
          <w:szCs w:val="24"/>
          <w:lang w:eastAsia="es-EC"/>
        </w:rPr>
      </w:pPr>
      <w:r w:rsidRPr="00E62596">
        <w:rPr>
          <w:rFonts w:ascii="Times New Roman" w:eastAsia="Times New Roman" w:hAnsi="Times New Roman" w:cs="Times New Roman"/>
          <w:sz w:val="24"/>
          <w:szCs w:val="24"/>
          <w:lang w:eastAsia="es-EC"/>
        </w:rPr>
        <w:t>Toda entidad debe presentar información que permita a los usuarios de sus estados financieros evaluar la naturaleza y las repercusiones financieras de las actividades empresariales que desarrolla y los entornos económicos en los que opera.</w:t>
      </w:r>
    </w:p>
    <w:p w:rsidR="00E62596" w:rsidRPr="00050F7F" w:rsidRDefault="00E62596" w:rsidP="00753344">
      <w:pPr>
        <w:spacing w:before="100" w:beforeAutospacing="1" w:after="100" w:afterAutospacing="1" w:line="360" w:lineRule="auto"/>
        <w:jc w:val="both"/>
        <w:outlineLvl w:val="1"/>
        <w:rPr>
          <w:rFonts w:ascii="Consolas" w:eastAsia="Times New Roman" w:hAnsi="Consolas" w:cs="Consolas"/>
          <w:b/>
          <w:bCs/>
          <w:color w:val="003366"/>
          <w:sz w:val="24"/>
          <w:szCs w:val="36"/>
          <w:lang w:eastAsia="es-EC"/>
        </w:rPr>
      </w:pPr>
      <w:r w:rsidRPr="00050F7F">
        <w:rPr>
          <w:rFonts w:ascii="Consolas" w:eastAsia="Times New Roman" w:hAnsi="Consolas" w:cs="Consolas"/>
          <w:b/>
          <w:bCs/>
          <w:color w:val="003366"/>
          <w:sz w:val="24"/>
          <w:szCs w:val="36"/>
          <w:lang w:eastAsia="es-EC"/>
        </w:rPr>
        <w:t>ALCANCE</w:t>
      </w:r>
    </w:p>
    <w:p w:rsidR="00E62596" w:rsidRPr="00E62596" w:rsidRDefault="00E62596" w:rsidP="00753344">
      <w:pPr>
        <w:spacing w:before="100" w:beforeAutospacing="1" w:after="100" w:afterAutospacing="1" w:line="360" w:lineRule="auto"/>
        <w:jc w:val="both"/>
        <w:outlineLvl w:val="1"/>
        <w:rPr>
          <w:rFonts w:ascii="Times New Roman" w:eastAsia="Times New Roman" w:hAnsi="Times New Roman" w:cs="Times New Roman"/>
          <w:b/>
          <w:bCs/>
          <w:sz w:val="24"/>
          <w:szCs w:val="36"/>
          <w:lang w:eastAsia="es-EC"/>
        </w:rPr>
      </w:pPr>
      <w:r w:rsidRPr="00E62596">
        <w:rPr>
          <w:rFonts w:ascii="Times New Roman" w:eastAsia="Times New Roman" w:hAnsi="Times New Roman" w:cs="Times New Roman"/>
          <w:sz w:val="24"/>
          <w:szCs w:val="24"/>
          <w:lang w:eastAsia="es-EC"/>
        </w:rPr>
        <w:t>La presente NIIF se aplicará:</w:t>
      </w:r>
    </w:p>
    <w:p w:rsidR="00E62596" w:rsidRPr="00E62596" w:rsidRDefault="00E62596" w:rsidP="00753344">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sidRPr="00E62596">
        <w:rPr>
          <w:rFonts w:ascii="Times New Roman" w:eastAsia="Times New Roman" w:hAnsi="Times New Roman" w:cs="Times New Roman"/>
          <w:sz w:val="24"/>
          <w:szCs w:val="24"/>
          <w:lang w:eastAsia="es-EC"/>
        </w:rPr>
        <w:t xml:space="preserve">(a) </w:t>
      </w:r>
      <w:r>
        <w:rPr>
          <w:rFonts w:ascii="Times New Roman" w:eastAsia="Times New Roman" w:hAnsi="Times New Roman" w:cs="Times New Roman"/>
          <w:sz w:val="24"/>
          <w:szCs w:val="24"/>
          <w:lang w:eastAsia="es-EC"/>
        </w:rPr>
        <w:t>A</w:t>
      </w:r>
      <w:r w:rsidRPr="00E62596">
        <w:rPr>
          <w:rFonts w:ascii="Times New Roman" w:eastAsia="Times New Roman" w:hAnsi="Times New Roman" w:cs="Times New Roman"/>
          <w:sz w:val="24"/>
          <w:szCs w:val="24"/>
          <w:lang w:eastAsia="es-EC"/>
        </w:rPr>
        <w:t xml:space="preserve"> los estados financieros separados o individuales de una entidad:</w:t>
      </w:r>
    </w:p>
    <w:p w:rsidR="00753344" w:rsidRDefault="00E62596" w:rsidP="00753344">
      <w:pPr>
        <w:spacing w:before="100" w:beforeAutospacing="1" w:after="100" w:afterAutospacing="1" w:line="360" w:lineRule="auto"/>
        <w:ind w:left="1200"/>
        <w:jc w:val="both"/>
        <w:rPr>
          <w:rFonts w:ascii="Times New Roman" w:eastAsia="Times New Roman" w:hAnsi="Times New Roman" w:cs="Times New Roman"/>
          <w:sz w:val="24"/>
          <w:szCs w:val="24"/>
          <w:lang w:eastAsia="es-EC"/>
        </w:rPr>
      </w:pPr>
      <w:r w:rsidRPr="00E62596">
        <w:rPr>
          <w:rFonts w:ascii="Times New Roman" w:eastAsia="Times New Roman" w:hAnsi="Times New Roman" w:cs="Times New Roman"/>
          <w:sz w:val="24"/>
          <w:szCs w:val="24"/>
          <w:lang w:eastAsia="es-EC"/>
        </w:rPr>
        <w:t xml:space="preserve">(i) </w:t>
      </w:r>
      <w:r w:rsidRPr="00E62596">
        <w:rPr>
          <w:rFonts w:ascii="Times New Roman" w:eastAsia="Times New Roman" w:hAnsi="Times New Roman" w:cs="Times New Roman"/>
          <w:sz w:val="24"/>
          <w:szCs w:val="24"/>
          <w:lang w:eastAsia="es-EC"/>
        </w:rPr>
        <w:t>Cuyos</w:t>
      </w:r>
      <w:r w:rsidRPr="00E62596">
        <w:rPr>
          <w:rFonts w:ascii="Times New Roman" w:eastAsia="Times New Roman" w:hAnsi="Times New Roman" w:cs="Times New Roman"/>
          <w:sz w:val="24"/>
          <w:szCs w:val="24"/>
          <w:lang w:eastAsia="es-EC"/>
        </w:rPr>
        <w:t xml:space="preserve"> instrumentos de deuda o de patrimonio se negocien en un mercado público (bolsa de valores nacional o extranjera o mercado no organizado, incluidos los mercados </w:t>
      </w:r>
      <w:r w:rsidR="00753344">
        <w:rPr>
          <w:rFonts w:ascii="Times New Roman" w:eastAsia="Times New Roman" w:hAnsi="Times New Roman" w:cs="Times New Roman"/>
          <w:sz w:val="24"/>
          <w:szCs w:val="24"/>
          <w:lang w:eastAsia="es-EC"/>
        </w:rPr>
        <w:t>locales y regionales).</w:t>
      </w:r>
    </w:p>
    <w:p w:rsidR="00E62596" w:rsidRPr="00E62596" w:rsidRDefault="00E62596" w:rsidP="00753344">
      <w:pPr>
        <w:spacing w:before="100" w:beforeAutospacing="1" w:after="100" w:afterAutospacing="1" w:line="360" w:lineRule="auto"/>
        <w:ind w:left="12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(ii) Q</w:t>
      </w:r>
      <w:r w:rsidRPr="00E62596">
        <w:rPr>
          <w:rFonts w:ascii="Times New Roman" w:eastAsia="Times New Roman" w:hAnsi="Times New Roman" w:cs="Times New Roman"/>
          <w:sz w:val="24"/>
          <w:szCs w:val="24"/>
          <w:lang w:eastAsia="es-EC"/>
        </w:rPr>
        <w:t>ue registre, o esté en procedo de registrar, sus estados financieros en una comisión de valores u otra organización reguladora, con el fin de emitir instrumentos de cualquie</w:t>
      </w:r>
      <w:r w:rsidR="00753344">
        <w:rPr>
          <w:rFonts w:ascii="Times New Roman" w:eastAsia="Times New Roman" w:hAnsi="Times New Roman" w:cs="Times New Roman"/>
          <w:sz w:val="24"/>
          <w:szCs w:val="24"/>
          <w:lang w:eastAsia="es-EC"/>
        </w:rPr>
        <w:t>r clase en un mercado público.</w:t>
      </w:r>
    </w:p>
    <w:p w:rsidR="00E62596" w:rsidRPr="00E62596" w:rsidRDefault="00753344" w:rsidP="00753344">
      <w:pPr>
        <w:spacing w:before="100" w:beforeAutospacing="1" w:after="100" w:afterAutospacing="1" w:line="360" w:lineRule="auto"/>
        <w:ind w:left="600"/>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(b) A</w:t>
      </w:r>
      <w:r w:rsidR="00E62596" w:rsidRPr="00E62596">
        <w:rPr>
          <w:rFonts w:ascii="Times New Roman" w:eastAsia="Times New Roman" w:hAnsi="Times New Roman" w:cs="Times New Roman"/>
          <w:sz w:val="24"/>
          <w:szCs w:val="24"/>
          <w:lang w:eastAsia="es-EC"/>
        </w:rPr>
        <w:t xml:space="preserve"> los estados financieros consolidados de un grupo con una dominante:</w:t>
      </w:r>
    </w:p>
    <w:p w:rsidR="00753344" w:rsidRDefault="00E62596" w:rsidP="00753344">
      <w:pPr>
        <w:spacing w:before="100" w:beforeAutospacing="1" w:after="100" w:afterAutospacing="1" w:line="360" w:lineRule="auto"/>
        <w:ind w:left="1200"/>
        <w:jc w:val="both"/>
        <w:rPr>
          <w:rFonts w:ascii="Times New Roman" w:eastAsia="Times New Roman" w:hAnsi="Times New Roman" w:cs="Times New Roman"/>
          <w:sz w:val="24"/>
          <w:szCs w:val="24"/>
          <w:lang w:eastAsia="es-EC"/>
        </w:rPr>
      </w:pPr>
      <w:r w:rsidRPr="00E62596">
        <w:rPr>
          <w:rFonts w:ascii="Times New Roman" w:eastAsia="Times New Roman" w:hAnsi="Times New Roman" w:cs="Times New Roman"/>
          <w:sz w:val="24"/>
          <w:szCs w:val="24"/>
          <w:lang w:eastAsia="es-EC"/>
        </w:rPr>
        <w:t xml:space="preserve">(i) </w:t>
      </w:r>
      <w:r w:rsidR="00753344" w:rsidRPr="00E62596">
        <w:rPr>
          <w:rFonts w:ascii="Times New Roman" w:eastAsia="Times New Roman" w:hAnsi="Times New Roman" w:cs="Times New Roman"/>
          <w:sz w:val="24"/>
          <w:szCs w:val="24"/>
          <w:lang w:eastAsia="es-EC"/>
        </w:rPr>
        <w:t>Cuyos</w:t>
      </w:r>
      <w:r w:rsidRPr="00E62596">
        <w:rPr>
          <w:rFonts w:ascii="Times New Roman" w:eastAsia="Times New Roman" w:hAnsi="Times New Roman" w:cs="Times New Roman"/>
          <w:sz w:val="24"/>
          <w:szCs w:val="24"/>
          <w:lang w:eastAsia="es-EC"/>
        </w:rPr>
        <w:t xml:space="preserve"> instrumentos de deuda o de patrimonio se negocien en un mercado público (bolsa de valores nacional o extranjera o mercado no organizado, incluidos los m</w:t>
      </w:r>
      <w:r w:rsidR="00753344">
        <w:rPr>
          <w:rFonts w:ascii="Times New Roman" w:eastAsia="Times New Roman" w:hAnsi="Times New Roman" w:cs="Times New Roman"/>
          <w:sz w:val="24"/>
          <w:szCs w:val="24"/>
          <w:lang w:eastAsia="es-EC"/>
        </w:rPr>
        <w:t>ercados locales y regionales).</w:t>
      </w:r>
    </w:p>
    <w:p w:rsidR="00E62596" w:rsidRDefault="00E62596" w:rsidP="00753344">
      <w:pPr>
        <w:spacing w:before="100" w:beforeAutospacing="1" w:after="100" w:afterAutospacing="1" w:line="360" w:lineRule="auto"/>
        <w:ind w:left="1200"/>
        <w:jc w:val="both"/>
        <w:rPr>
          <w:rFonts w:ascii="Times New Roman" w:eastAsia="Times New Roman" w:hAnsi="Times New Roman" w:cs="Times New Roman"/>
          <w:sz w:val="24"/>
          <w:szCs w:val="24"/>
          <w:lang w:eastAsia="es-EC"/>
        </w:rPr>
      </w:pPr>
      <w:r w:rsidRPr="00E62596">
        <w:rPr>
          <w:rFonts w:ascii="Times New Roman" w:eastAsia="Times New Roman" w:hAnsi="Times New Roman" w:cs="Times New Roman"/>
          <w:sz w:val="24"/>
          <w:szCs w:val="24"/>
          <w:lang w:eastAsia="es-EC"/>
        </w:rPr>
        <w:t>(</w:t>
      </w:r>
      <w:r w:rsidR="00753344">
        <w:rPr>
          <w:rFonts w:ascii="Times New Roman" w:eastAsia="Times New Roman" w:hAnsi="Times New Roman" w:cs="Times New Roman"/>
          <w:sz w:val="24"/>
          <w:szCs w:val="24"/>
          <w:lang w:eastAsia="es-EC"/>
        </w:rPr>
        <w:t>ii) Q</w:t>
      </w:r>
      <w:r w:rsidRPr="00E62596">
        <w:rPr>
          <w:rFonts w:ascii="Times New Roman" w:eastAsia="Times New Roman" w:hAnsi="Times New Roman" w:cs="Times New Roman"/>
          <w:sz w:val="24"/>
          <w:szCs w:val="24"/>
          <w:lang w:eastAsia="es-EC"/>
        </w:rPr>
        <w:t>ue registre, o esté en procedo de registrar, sus estados financieros en una comisión de valores u otra organización reguladora, con el fin de emitir instrumentos de cualquier clase en un mercado público.</w:t>
      </w:r>
      <w:sdt>
        <w:sdtPr>
          <w:rPr>
            <w:rFonts w:ascii="Times New Roman" w:eastAsia="Times New Roman" w:hAnsi="Times New Roman" w:cs="Times New Roman"/>
            <w:sz w:val="24"/>
            <w:szCs w:val="24"/>
            <w:lang w:eastAsia="es-EC"/>
          </w:rPr>
          <w:id w:val="-1045374470"/>
          <w:citation/>
        </w:sdtPr>
        <w:sdtContent>
          <w:r w:rsidR="0019422C">
            <w:rPr>
              <w:rFonts w:ascii="Times New Roman" w:eastAsia="Times New Roman" w:hAnsi="Times New Roman" w:cs="Times New Roman"/>
              <w:sz w:val="24"/>
              <w:szCs w:val="24"/>
              <w:lang w:eastAsia="es-EC"/>
            </w:rPr>
            <w:fldChar w:fldCharType="begin"/>
          </w:r>
          <w:r w:rsidR="0019422C">
            <w:rPr>
              <w:rFonts w:ascii="Times New Roman" w:eastAsia="Times New Roman" w:hAnsi="Times New Roman" w:cs="Times New Roman"/>
              <w:sz w:val="24"/>
              <w:szCs w:val="24"/>
              <w:lang w:eastAsia="es-EC"/>
            </w:rPr>
            <w:instrText xml:space="preserve"> CITATION ZAM08 \l 12298 </w:instrText>
          </w:r>
          <w:r w:rsidR="0019422C">
            <w:rPr>
              <w:rFonts w:ascii="Times New Roman" w:eastAsia="Times New Roman" w:hAnsi="Times New Roman" w:cs="Times New Roman"/>
              <w:sz w:val="24"/>
              <w:szCs w:val="24"/>
              <w:lang w:eastAsia="es-EC"/>
            </w:rPr>
            <w:fldChar w:fldCharType="separate"/>
          </w:r>
          <w:r w:rsidR="000D0203">
            <w:rPr>
              <w:rFonts w:ascii="Times New Roman" w:eastAsia="Times New Roman" w:hAnsi="Times New Roman" w:cs="Times New Roman"/>
              <w:noProof/>
              <w:sz w:val="24"/>
              <w:szCs w:val="24"/>
              <w:lang w:eastAsia="es-EC"/>
            </w:rPr>
            <w:t xml:space="preserve"> </w:t>
          </w:r>
          <w:r w:rsidR="000D0203" w:rsidRPr="000D0203">
            <w:rPr>
              <w:rFonts w:ascii="Times New Roman" w:eastAsia="Times New Roman" w:hAnsi="Times New Roman" w:cs="Times New Roman"/>
              <w:noProof/>
              <w:sz w:val="24"/>
              <w:szCs w:val="24"/>
              <w:lang w:eastAsia="es-EC"/>
            </w:rPr>
            <w:t>(ZAMBRANO, 2008)</w:t>
          </w:r>
          <w:r w:rsidR="0019422C">
            <w:rPr>
              <w:rFonts w:ascii="Times New Roman" w:eastAsia="Times New Roman" w:hAnsi="Times New Roman" w:cs="Times New Roman"/>
              <w:sz w:val="24"/>
              <w:szCs w:val="24"/>
              <w:lang w:eastAsia="es-EC"/>
            </w:rPr>
            <w:fldChar w:fldCharType="end"/>
          </w:r>
        </w:sdtContent>
      </w:sdt>
    </w:p>
    <w:p w:rsidR="00AE5EFC" w:rsidRDefault="00AE5EFC" w:rsidP="00AE5EFC">
      <w:pPr>
        <w:spacing w:line="360" w:lineRule="auto"/>
        <w:jc w:val="both"/>
        <w:rPr>
          <w:rFonts w:ascii="Times New Roman" w:eastAsia="Times New Roman" w:hAnsi="Times New Roman" w:cs="Times New Roman"/>
          <w:b/>
          <w:sz w:val="24"/>
          <w:szCs w:val="24"/>
          <w:lang w:eastAsia="es-EC"/>
        </w:rPr>
      </w:pPr>
    </w:p>
    <w:p w:rsidR="00AE5EFC" w:rsidRDefault="00AE5EFC" w:rsidP="00AE5EFC">
      <w:pPr>
        <w:spacing w:line="360" w:lineRule="auto"/>
        <w:jc w:val="both"/>
        <w:rPr>
          <w:rFonts w:ascii="Times New Roman" w:eastAsia="Times New Roman" w:hAnsi="Times New Roman" w:cs="Times New Roman"/>
          <w:b/>
          <w:sz w:val="24"/>
          <w:szCs w:val="24"/>
          <w:lang w:eastAsia="es-EC"/>
        </w:rPr>
      </w:pPr>
    </w:p>
    <w:p w:rsidR="00AE5EFC" w:rsidRPr="00AE5EFC" w:rsidRDefault="00AE5EFC" w:rsidP="00050F7F">
      <w:pPr>
        <w:spacing w:line="360" w:lineRule="auto"/>
        <w:jc w:val="center"/>
        <w:rPr>
          <w:rFonts w:ascii="Rockwell" w:hAnsi="Rockwell" w:cs="Times New Roman"/>
          <w:b/>
          <w:color w:val="666699"/>
          <w:sz w:val="24"/>
          <w:szCs w:val="24"/>
          <w:lang w:val="es-ES"/>
        </w:rPr>
      </w:pPr>
      <w:r w:rsidRPr="00AE5EFC">
        <w:rPr>
          <w:rFonts w:ascii="Rockwell" w:hAnsi="Rockwell" w:cs="Times New Roman"/>
          <w:b/>
          <w:color w:val="666699"/>
          <w:sz w:val="24"/>
          <w:szCs w:val="24"/>
          <w:lang w:val="es-ES"/>
        </w:rPr>
        <w:lastRenderedPageBreak/>
        <w:t>PRINCIPIOS DE LOS ESTADOS FINANCIEROS</w:t>
      </w:r>
    </w:p>
    <w:p w:rsidR="00AE5EFC" w:rsidRPr="00AE5EFC" w:rsidRDefault="00AE5EFC" w:rsidP="00AE5EFC">
      <w:pPr>
        <w:spacing w:line="360" w:lineRule="auto"/>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Los principios contables, generalmente aceptados, deben ser acogidos por la totalidad de las empresas y contemplan las convenciones, normas y procedimientos con los que se fijan las prácticas contables desarrolladas con bases en la experiencia, el criterio y la costumbre.</w:t>
      </w:r>
    </w:p>
    <w:p w:rsidR="00AE5EFC" w:rsidRDefault="00AE5EFC" w:rsidP="00AE5EFC">
      <w:pPr>
        <w:numPr>
          <w:ilvl w:val="0"/>
          <w:numId w:val="8"/>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Los datos contables deben ser registrados en términos de dinero; para el caso colombiano, en pesos</w:t>
      </w:r>
      <w:r>
        <w:rPr>
          <w:rFonts w:ascii="Times New Roman" w:hAnsi="Times New Roman" w:cs="Times New Roman"/>
          <w:sz w:val="24"/>
          <w:szCs w:val="24"/>
          <w:lang w:val="es-ES"/>
        </w:rPr>
        <w:t>.</w:t>
      </w:r>
    </w:p>
    <w:p w:rsidR="001830A9" w:rsidRPr="0019422C" w:rsidRDefault="001830A9" w:rsidP="001830A9">
      <w:pPr>
        <w:spacing w:line="360" w:lineRule="auto"/>
        <w:ind w:left="72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4C32A3" w:rsidRPr="0019422C" w:rsidRDefault="004C32A3" w:rsidP="0019422C">
      <w:pPr>
        <w:pStyle w:val="Prrafodelista"/>
        <w:numPr>
          <w:ilvl w:val="0"/>
          <w:numId w:val="12"/>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Se vende un terreno de 5 hectáreas en $ 10,000.</w:t>
      </w:r>
    </w:p>
    <w:p w:rsidR="001830A9" w:rsidRPr="0019422C" w:rsidRDefault="004C32A3" w:rsidP="0019422C">
      <w:pPr>
        <w:pStyle w:val="Prrafodelista"/>
        <w:numPr>
          <w:ilvl w:val="0"/>
          <w:numId w:val="12"/>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Se compra mercaderías (vestimenta)  por el precio de $ 1,500.</w:t>
      </w:r>
    </w:p>
    <w:p w:rsidR="00AE5EFC" w:rsidRDefault="00AE5EFC" w:rsidP="00AE5EFC">
      <w:pPr>
        <w:numPr>
          <w:ilvl w:val="0"/>
          <w:numId w:val="8"/>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Toda transacción debe ser contabilizado por partida doble, esto es, sobre todo activo existen derechos de los socios y/o de los acreedores.</w:t>
      </w:r>
    </w:p>
    <w:p w:rsidR="004C32A3" w:rsidRPr="0019422C" w:rsidRDefault="004C32A3" w:rsidP="004C32A3">
      <w:pPr>
        <w:spacing w:line="360" w:lineRule="auto"/>
        <w:ind w:left="72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4C32A3" w:rsidRPr="0019422C" w:rsidRDefault="00B04DB3" w:rsidP="0019422C">
      <w:pPr>
        <w:pStyle w:val="Prrafodelista"/>
        <w:numPr>
          <w:ilvl w:val="0"/>
          <w:numId w:val="13"/>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Se adquiere mercaderías por el valor de $ 800; se cancela el 50% con cheque y la diferencia en efectivo.</w:t>
      </w:r>
    </w:p>
    <w:p w:rsidR="00B04DB3" w:rsidRPr="0019422C" w:rsidRDefault="00B04DB3" w:rsidP="0019422C">
      <w:pPr>
        <w:pStyle w:val="Prrafodelista"/>
        <w:numPr>
          <w:ilvl w:val="0"/>
          <w:numId w:val="13"/>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 xml:space="preserve">Se vende </w:t>
      </w:r>
      <w:r w:rsidR="00F24B68" w:rsidRPr="0019422C">
        <w:rPr>
          <w:rFonts w:ascii="Times New Roman" w:hAnsi="Times New Roman" w:cs="Times New Roman"/>
          <w:sz w:val="24"/>
          <w:szCs w:val="24"/>
          <w:lang w:val="es-ES"/>
        </w:rPr>
        <w:t>un equipo de oficina en $ 500; nos cancelan a crédito personal.</w:t>
      </w:r>
    </w:p>
    <w:p w:rsidR="00AE5EFC" w:rsidRDefault="00AE5EFC" w:rsidP="00AE5EFC">
      <w:pPr>
        <w:numPr>
          <w:ilvl w:val="0"/>
          <w:numId w:val="8"/>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La empresa es una entidad independiente de sus socios o propietarios, por lo cual las bases contables deben sujetarse a este principio.</w:t>
      </w:r>
    </w:p>
    <w:p w:rsidR="00F24B68" w:rsidRPr="0019422C" w:rsidRDefault="00F24B68" w:rsidP="00F24B68">
      <w:pPr>
        <w:spacing w:line="360" w:lineRule="auto"/>
        <w:ind w:left="72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F24B68" w:rsidRPr="0019422C" w:rsidRDefault="00F24B68" w:rsidP="0019422C">
      <w:pPr>
        <w:pStyle w:val="Prrafodelista"/>
        <w:numPr>
          <w:ilvl w:val="0"/>
          <w:numId w:val="14"/>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El gerente de una entidad requiere de nuevos equipos de computación para el uso del departamento de administración.</w:t>
      </w:r>
    </w:p>
    <w:p w:rsidR="00F24B68" w:rsidRPr="0019422C" w:rsidRDefault="00F24B68" w:rsidP="0019422C">
      <w:pPr>
        <w:pStyle w:val="Prrafodelista"/>
        <w:numPr>
          <w:ilvl w:val="0"/>
          <w:numId w:val="14"/>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El departamento financiero de una institución deportiva desea otorgar becas de apoyo a los deportistas destacados.</w:t>
      </w:r>
    </w:p>
    <w:p w:rsidR="00AE5EFC" w:rsidRDefault="00AE5EFC" w:rsidP="00AE5EFC">
      <w:pPr>
        <w:numPr>
          <w:ilvl w:val="0"/>
          <w:numId w:val="8"/>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Se debe partir del supuesto que los estados financieros son consistentes, es decir que se han empleado las mismas técnicas contables todos los años, de tal manera que puedan ser comparadas.</w:t>
      </w:r>
    </w:p>
    <w:p w:rsidR="0019422C" w:rsidRDefault="0019422C" w:rsidP="00685580">
      <w:pPr>
        <w:spacing w:line="360" w:lineRule="auto"/>
        <w:ind w:left="720"/>
        <w:contextualSpacing/>
        <w:jc w:val="both"/>
        <w:rPr>
          <w:rFonts w:ascii="Eras Demi ITC" w:hAnsi="Eras Demi ITC" w:cs="Times New Roman"/>
          <w:color w:val="F79646" w:themeColor="accent6"/>
          <w:sz w:val="24"/>
          <w:szCs w:val="24"/>
          <w:lang w:val="es-ES"/>
        </w:rPr>
      </w:pPr>
    </w:p>
    <w:p w:rsidR="0019422C" w:rsidRDefault="0019422C" w:rsidP="00685580">
      <w:pPr>
        <w:spacing w:line="360" w:lineRule="auto"/>
        <w:ind w:left="720"/>
        <w:contextualSpacing/>
        <w:jc w:val="both"/>
        <w:rPr>
          <w:rFonts w:ascii="Eras Demi ITC" w:hAnsi="Eras Demi ITC" w:cs="Times New Roman"/>
          <w:color w:val="F79646" w:themeColor="accent6"/>
          <w:sz w:val="24"/>
          <w:szCs w:val="24"/>
          <w:lang w:val="es-ES"/>
        </w:rPr>
      </w:pPr>
    </w:p>
    <w:p w:rsidR="00685580" w:rsidRPr="0019422C" w:rsidRDefault="00685580" w:rsidP="00685580">
      <w:pPr>
        <w:spacing w:line="360" w:lineRule="auto"/>
        <w:ind w:left="72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lastRenderedPageBreak/>
        <w:t>Ejemplo:</w:t>
      </w:r>
    </w:p>
    <w:p w:rsidR="00685580" w:rsidRPr="0019422C" w:rsidRDefault="00685580" w:rsidP="0019422C">
      <w:pPr>
        <w:pStyle w:val="Prrafodelista"/>
        <w:numPr>
          <w:ilvl w:val="0"/>
          <w:numId w:val="15"/>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Una empresa utiliza el método de depreciación de línea recta en sus activos fijos, durante el proceso de actividad económica.</w:t>
      </w:r>
    </w:p>
    <w:p w:rsidR="00685580" w:rsidRPr="0019422C" w:rsidRDefault="00685580" w:rsidP="0019422C">
      <w:pPr>
        <w:pStyle w:val="Prrafodelista"/>
        <w:numPr>
          <w:ilvl w:val="0"/>
          <w:numId w:val="15"/>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Para el registro del costo de venta de mercaderías, la empresa utiliza el método de promedio ponderado</w:t>
      </w:r>
      <w:r w:rsidR="006A3EAD" w:rsidRPr="0019422C">
        <w:rPr>
          <w:rFonts w:ascii="Times New Roman" w:hAnsi="Times New Roman" w:cs="Times New Roman"/>
          <w:sz w:val="24"/>
          <w:szCs w:val="24"/>
          <w:lang w:val="es-ES"/>
        </w:rPr>
        <w:t xml:space="preserve"> en cada producto.</w:t>
      </w:r>
    </w:p>
    <w:p w:rsidR="00AE5EFC" w:rsidRDefault="00AE5EFC" w:rsidP="00AE5EFC">
      <w:pPr>
        <w:numPr>
          <w:ilvl w:val="0"/>
          <w:numId w:val="8"/>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Los ingresos se reconocen basados en la acusación y en un intercambio económico, ajustado al principio de la partida doble.</w:t>
      </w:r>
    </w:p>
    <w:p w:rsidR="006A3EAD" w:rsidRPr="0019422C" w:rsidRDefault="006A3EAD" w:rsidP="006A3EAD">
      <w:pPr>
        <w:spacing w:line="360" w:lineRule="auto"/>
        <w:ind w:left="72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6A3EAD" w:rsidRPr="0019422C" w:rsidRDefault="006A3EAD" w:rsidP="0019422C">
      <w:pPr>
        <w:pStyle w:val="Prrafodelista"/>
        <w:numPr>
          <w:ilvl w:val="0"/>
          <w:numId w:val="16"/>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La fábrica  “</w:t>
      </w:r>
      <w:proofErr w:type="spellStart"/>
      <w:r w:rsidRPr="0019422C">
        <w:rPr>
          <w:rFonts w:ascii="Times New Roman" w:hAnsi="Times New Roman" w:cs="Times New Roman"/>
          <w:sz w:val="24"/>
          <w:szCs w:val="24"/>
          <w:lang w:val="es-ES"/>
        </w:rPr>
        <w:t>Lanafit</w:t>
      </w:r>
      <w:proofErr w:type="spellEnd"/>
      <w:r w:rsidRPr="0019422C">
        <w:rPr>
          <w:rFonts w:ascii="Times New Roman" w:hAnsi="Times New Roman" w:cs="Times New Roman"/>
          <w:sz w:val="24"/>
          <w:szCs w:val="24"/>
          <w:lang w:val="es-ES"/>
        </w:rPr>
        <w:t>” obtiene mayores ingresos por la venta de hilos acrílicos y textiles a cada uno de sus distribuidores.</w:t>
      </w:r>
    </w:p>
    <w:p w:rsidR="006A3EAD" w:rsidRPr="0019422C" w:rsidRDefault="006A3EAD" w:rsidP="0019422C">
      <w:pPr>
        <w:pStyle w:val="Prrafodelista"/>
        <w:numPr>
          <w:ilvl w:val="0"/>
          <w:numId w:val="16"/>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La empresa “AKÍ” posee ingresos por la compra y venta de sus productos como: alimentos y bebidas al cliente.</w:t>
      </w:r>
    </w:p>
    <w:p w:rsidR="00AE5EFC" w:rsidRDefault="00AE5EFC" w:rsidP="00AE5EFC">
      <w:pPr>
        <w:numPr>
          <w:ilvl w:val="0"/>
          <w:numId w:val="8"/>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Las partidas del Balance General son valuadas, en su mayoría, al costo con el fin de mantener un principio conservador.</w:t>
      </w:r>
    </w:p>
    <w:p w:rsidR="006A3EAD" w:rsidRPr="0019422C" w:rsidRDefault="006A3EAD" w:rsidP="006A3EAD">
      <w:pPr>
        <w:spacing w:line="360" w:lineRule="auto"/>
        <w:ind w:left="72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6A3EAD" w:rsidRPr="0019422C" w:rsidRDefault="006A3EAD" w:rsidP="0019422C">
      <w:pPr>
        <w:pStyle w:val="Prrafodelista"/>
        <w:numPr>
          <w:ilvl w:val="0"/>
          <w:numId w:val="17"/>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Se compra muebles de oficina por un valor de $ 1000, se considerara el valor real del mismo.</w:t>
      </w:r>
    </w:p>
    <w:p w:rsidR="006A3EAD" w:rsidRPr="0019422C" w:rsidRDefault="006A3EAD" w:rsidP="0019422C">
      <w:pPr>
        <w:pStyle w:val="Prrafodelista"/>
        <w:numPr>
          <w:ilvl w:val="0"/>
          <w:numId w:val="17"/>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Se vende</w:t>
      </w:r>
      <w:r w:rsidR="00D64C81" w:rsidRPr="0019422C">
        <w:rPr>
          <w:rFonts w:ascii="Times New Roman" w:hAnsi="Times New Roman" w:cs="Times New Roman"/>
          <w:sz w:val="24"/>
          <w:szCs w:val="24"/>
          <w:lang w:val="es-ES"/>
        </w:rPr>
        <w:t xml:space="preserve"> un</w:t>
      </w:r>
      <w:r w:rsidRPr="0019422C">
        <w:rPr>
          <w:rFonts w:ascii="Times New Roman" w:hAnsi="Times New Roman" w:cs="Times New Roman"/>
          <w:sz w:val="24"/>
          <w:szCs w:val="24"/>
          <w:lang w:val="es-ES"/>
        </w:rPr>
        <w:t xml:space="preserve"> </w:t>
      </w:r>
      <w:r w:rsidR="00D64C81" w:rsidRPr="0019422C">
        <w:rPr>
          <w:rFonts w:ascii="Times New Roman" w:hAnsi="Times New Roman" w:cs="Times New Roman"/>
          <w:sz w:val="24"/>
          <w:szCs w:val="24"/>
          <w:lang w:val="es-ES"/>
        </w:rPr>
        <w:t>equipo de oficina en $ 750, no se alterara el valor de dicho bien.</w:t>
      </w:r>
    </w:p>
    <w:p w:rsidR="00AE5EFC" w:rsidRDefault="00AE5EFC" w:rsidP="00AE5EFC">
      <w:pPr>
        <w:numPr>
          <w:ilvl w:val="0"/>
          <w:numId w:val="8"/>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Al igual que el punto anterior, las perdidas sobre derechos se debería registrar inmediatamente, pero las utilidades no.</w:t>
      </w:r>
    </w:p>
    <w:p w:rsidR="00D64C81" w:rsidRPr="0019422C" w:rsidRDefault="00D64C81" w:rsidP="00D64C81">
      <w:pPr>
        <w:spacing w:line="360" w:lineRule="auto"/>
        <w:ind w:left="72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D64C81" w:rsidRPr="0019422C" w:rsidRDefault="00D64C81" w:rsidP="0019422C">
      <w:pPr>
        <w:pStyle w:val="Prrafodelista"/>
        <w:numPr>
          <w:ilvl w:val="0"/>
          <w:numId w:val="18"/>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El comercial “Rosita” registro en su balance una pérdida significativa, a causa del exceso de alimentos dañados.</w:t>
      </w:r>
    </w:p>
    <w:p w:rsidR="00D64C81" w:rsidRPr="0019422C" w:rsidRDefault="00D64C81" w:rsidP="0019422C">
      <w:pPr>
        <w:pStyle w:val="Prrafodelista"/>
        <w:numPr>
          <w:ilvl w:val="0"/>
          <w:numId w:val="18"/>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 xml:space="preserve">La empresa “Amanda” </w:t>
      </w:r>
      <w:r w:rsidR="00912D2F" w:rsidRPr="0019422C">
        <w:rPr>
          <w:rFonts w:ascii="Times New Roman" w:hAnsi="Times New Roman" w:cs="Times New Roman"/>
          <w:sz w:val="24"/>
          <w:szCs w:val="24"/>
          <w:lang w:val="es-ES"/>
        </w:rPr>
        <w:t>tuvo</w:t>
      </w:r>
      <w:r w:rsidRPr="0019422C">
        <w:rPr>
          <w:rFonts w:ascii="Times New Roman" w:hAnsi="Times New Roman" w:cs="Times New Roman"/>
          <w:sz w:val="24"/>
          <w:szCs w:val="24"/>
          <w:lang w:val="es-ES"/>
        </w:rPr>
        <w:t xml:space="preserve"> perdidas de valor, por </w:t>
      </w:r>
      <w:r w:rsidR="00912D2F" w:rsidRPr="0019422C">
        <w:rPr>
          <w:rFonts w:ascii="Times New Roman" w:hAnsi="Times New Roman" w:cs="Times New Roman"/>
          <w:sz w:val="24"/>
          <w:szCs w:val="24"/>
          <w:lang w:val="es-ES"/>
        </w:rPr>
        <w:t>el desperdicio de materia prima en la fabricación de sábanas.</w:t>
      </w:r>
    </w:p>
    <w:p w:rsidR="0019422C" w:rsidRDefault="0019422C" w:rsidP="0019422C">
      <w:pPr>
        <w:spacing w:line="360" w:lineRule="auto"/>
        <w:jc w:val="center"/>
        <w:rPr>
          <w:rFonts w:ascii="Rockwell" w:hAnsi="Rockwell" w:cs="Times New Roman"/>
          <w:b/>
          <w:color w:val="666699"/>
          <w:sz w:val="24"/>
          <w:szCs w:val="24"/>
          <w:lang w:val="es-ES"/>
        </w:rPr>
      </w:pPr>
    </w:p>
    <w:p w:rsidR="0019422C" w:rsidRDefault="0019422C" w:rsidP="0019422C">
      <w:pPr>
        <w:spacing w:line="360" w:lineRule="auto"/>
        <w:jc w:val="center"/>
        <w:rPr>
          <w:rFonts w:ascii="Rockwell" w:hAnsi="Rockwell" w:cs="Times New Roman"/>
          <w:b/>
          <w:color w:val="666699"/>
          <w:sz w:val="24"/>
          <w:szCs w:val="24"/>
          <w:lang w:val="es-ES"/>
        </w:rPr>
      </w:pPr>
    </w:p>
    <w:p w:rsidR="00AE5EFC" w:rsidRPr="00AE5EFC" w:rsidRDefault="00AE5EFC" w:rsidP="0019422C">
      <w:pPr>
        <w:spacing w:line="360" w:lineRule="auto"/>
        <w:jc w:val="center"/>
        <w:rPr>
          <w:rFonts w:ascii="Rockwell" w:hAnsi="Rockwell" w:cs="Times New Roman"/>
          <w:b/>
          <w:color w:val="666699"/>
          <w:sz w:val="24"/>
          <w:szCs w:val="24"/>
          <w:lang w:val="es-ES"/>
        </w:rPr>
      </w:pPr>
      <w:r w:rsidRPr="0019422C">
        <w:rPr>
          <w:rFonts w:ascii="Rockwell" w:hAnsi="Rockwell" w:cs="Times New Roman"/>
          <w:b/>
          <w:color w:val="666699"/>
          <w:sz w:val="24"/>
          <w:szCs w:val="24"/>
          <w:lang w:val="es-ES"/>
        </w:rPr>
        <w:lastRenderedPageBreak/>
        <w:t>LIMITACIONES DE LOS ESTADOS FINANCIEROS</w:t>
      </w:r>
    </w:p>
    <w:p w:rsidR="00AE5EFC" w:rsidRPr="00AE5EFC" w:rsidRDefault="00AE5EFC" w:rsidP="00AE5EFC">
      <w:pPr>
        <w:spacing w:line="360" w:lineRule="auto"/>
        <w:ind w:left="360"/>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Pese a que se conciben generalmente como exactos, precisos y confiables, los estados financieros presentan algunas limitaciones, entre las cuales podemos destacar.</w:t>
      </w:r>
    </w:p>
    <w:p w:rsidR="00AE5EFC" w:rsidRDefault="00912D2F" w:rsidP="00AE5EFC">
      <w:pPr>
        <w:numPr>
          <w:ilvl w:val="0"/>
          <w:numId w:val="9"/>
        </w:numPr>
        <w:spacing w:line="360" w:lineRule="auto"/>
        <w:contextualSpacing/>
        <w:jc w:val="both"/>
        <w:rPr>
          <w:rFonts w:ascii="Times New Roman" w:hAnsi="Times New Roman" w:cs="Times New Roman"/>
          <w:sz w:val="24"/>
          <w:szCs w:val="24"/>
          <w:lang w:val="es-ES"/>
        </w:rPr>
      </w:pPr>
      <w:r>
        <w:rPr>
          <w:rFonts w:ascii="Times New Roman" w:hAnsi="Times New Roman" w:cs="Times New Roman"/>
          <w:sz w:val="24"/>
          <w:szCs w:val="24"/>
          <w:lang w:val="es-ES"/>
        </w:rPr>
        <w:t>S</w:t>
      </w:r>
      <w:r w:rsidR="00AE5EFC" w:rsidRPr="00AE5EFC">
        <w:rPr>
          <w:rFonts w:ascii="Times New Roman" w:hAnsi="Times New Roman" w:cs="Times New Roman"/>
          <w:sz w:val="24"/>
          <w:szCs w:val="24"/>
          <w:lang w:val="es-ES"/>
        </w:rPr>
        <w:t>on informes provisionales, pues las ganancias y/o  perdidas reales solo se pueden calcular en el momento en que se realizan o liquidan los derechos.</w:t>
      </w:r>
    </w:p>
    <w:p w:rsidR="00912D2F" w:rsidRPr="0019422C" w:rsidRDefault="00912D2F" w:rsidP="00912D2F">
      <w:pPr>
        <w:spacing w:line="360" w:lineRule="auto"/>
        <w:ind w:left="108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912D2F" w:rsidRPr="0019422C" w:rsidRDefault="00912D2F" w:rsidP="0019422C">
      <w:pPr>
        <w:pStyle w:val="Prrafodelista"/>
        <w:numPr>
          <w:ilvl w:val="0"/>
          <w:numId w:val="19"/>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La fábrica “</w:t>
      </w:r>
      <w:proofErr w:type="spellStart"/>
      <w:r w:rsidRPr="0019422C">
        <w:rPr>
          <w:rFonts w:ascii="Times New Roman" w:hAnsi="Times New Roman" w:cs="Times New Roman"/>
          <w:sz w:val="24"/>
          <w:szCs w:val="24"/>
          <w:lang w:val="es-ES"/>
        </w:rPr>
        <w:t>Nilotex</w:t>
      </w:r>
      <w:proofErr w:type="spellEnd"/>
      <w:r w:rsidRPr="0019422C">
        <w:rPr>
          <w:rFonts w:ascii="Times New Roman" w:hAnsi="Times New Roman" w:cs="Times New Roman"/>
          <w:sz w:val="24"/>
          <w:szCs w:val="24"/>
          <w:lang w:val="es-ES"/>
        </w:rPr>
        <w:t xml:space="preserve">” posee una utilidad demostrativa durante </w:t>
      </w:r>
      <w:r w:rsidR="001E7AD9" w:rsidRPr="0019422C">
        <w:rPr>
          <w:rFonts w:ascii="Times New Roman" w:hAnsi="Times New Roman" w:cs="Times New Roman"/>
          <w:sz w:val="24"/>
          <w:szCs w:val="24"/>
          <w:lang w:val="es-ES"/>
        </w:rPr>
        <w:t>la venta de sus productos elaborados por la misma.</w:t>
      </w:r>
    </w:p>
    <w:p w:rsidR="001E7AD9" w:rsidRPr="0019422C" w:rsidRDefault="001E7AD9" w:rsidP="0019422C">
      <w:pPr>
        <w:pStyle w:val="Prrafodelista"/>
        <w:numPr>
          <w:ilvl w:val="0"/>
          <w:numId w:val="19"/>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La empresa “</w:t>
      </w:r>
      <w:proofErr w:type="spellStart"/>
      <w:r w:rsidRPr="0019422C">
        <w:rPr>
          <w:rFonts w:ascii="Times New Roman" w:hAnsi="Times New Roman" w:cs="Times New Roman"/>
          <w:sz w:val="24"/>
          <w:szCs w:val="24"/>
          <w:lang w:val="es-ES"/>
        </w:rPr>
        <w:t>Texsa</w:t>
      </w:r>
      <w:proofErr w:type="spellEnd"/>
      <w:r w:rsidRPr="0019422C">
        <w:rPr>
          <w:rFonts w:ascii="Times New Roman" w:hAnsi="Times New Roman" w:cs="Times New Roman"/>
          <w:sz w:val="24"/>
          <w:szCs w:val="24"/>
          <w:lang w:val="es-ES"/>
        </w:rPr>
        <w:t>” reveló una perdida causada por los desembolsos excesivos de materia prima.</w:t>
      </w:r>
    </w:p>
    <w:p w:rsidR="00AE5EFC" w:rsidRDefault="00AE5EFC" w:rsidP="00AE5EFC">
      <w:pPr>
        <w:numPr>
          <w:ilvl w:val="0"/>
          <w:numId w:val="9"/>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Los estados financieros involucran a varias áreas dentro de las organizaciones por lo cual confluyen diversos intereses sobre las normas propias a ser aplicadas</w:t>
      </w:r>
      <w:r w:rsidR="001E7AD9">
        <w:rPr>
          <w:rFonts w:ascii="Times New Roman" w:hAnsi="Times New Roman" w:cs="Times New Roman"/>
          <w:sz w:val="24"/>
          <w:szCs w:val="24"/>
          <w:lang w:val="es-ES"/>
        </w:rPr>
        <w:t>.</w:t>
      </w:r>
    </w:p>
    <w:p w:rsidR="001E7AD9" w:rsidRPr="0019422C" w:rsidRDefault="001E7AD9" w:rsidP="001E7AD9">
      <w:pPr>
        <w:spacing w:line="360" w:lineRule="auto"/>
        <w:ind w:left="108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1E7AD9" w:rsidRPr="0019422C" w:rsidRDefault="00290C08" w:rsidP="0019422C">
      <w:pPr>
        <w:pStyle w:val="Prrafodelista"/>
        <w:numPr>
          <w:ilvl w:val="0"/>
          <w:numId w:val="20"/>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La empresa decide invertir en nuevos equipos de oficina para el departamento financiero y secretaria, para el desarrollo eficiente de sus actividades.</w:t>
      </w:r>
    </w:p>
    <w:p w:rsidR="00290C08" w:rsidRPr="0019422C" w:rsidRDefault="00290C08" w:rsidP="0019422C">
      <w:pPr>
        <w:pStyle w:val="Prrafodelista"/>
        <w:numPr>
          <w:ilvl w:val="0"/>
          <w:numId w:val="20"/>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 xml:space="preserve">El departamento de marketing y ventas de un comercial desea realizar la promoción y publicidad de sus productos mas acogidos en el mercado. </w:t>
      </w:r>
    </w:p>
    <w:p w:rsidR="00AE5EFC" w:rsidRDefault="00AE5EFC" w:rsidP="00AE5EFC">
      <w:pPr>
        <w:numPr>
          <w:ilvl w:val="0"/>
          <w:numId w:val="9"/>
        </w:numPr>
        <w:spacing w:line="360" w:lineRule="auto"/>
        <w:contextualSpacing/>
        <w:jc w:val="both"/>
        <w:rPr>
          <w:rFonts w:ascii="Times New Roman" w:hAnsi="Times New Roman" w:cs="Times New Roman"/>
          <w:sz w:val="24"/>
          <w:szCs w:val="24"/>
          <w:lang w:val="es-ES"/>
        </w:rPr>
      </w:pPr>
      <w:r w:rsidRPr="00AE5EFC">
        <w:rPr>
          <w:rFonts w:ascii="Times New Roman" w:hAnsi="Times New Roman" w:cs="Times New Roman"/>
          <w:sz w:val="24"/>
          <w:szCs w:val="24"/>
          <w:lang w:val="es-ES"/>
        </w:rPr>
        <w:t>En una economía inflacionaria, como la colombiana y con grandes recesiones, en un momento determinado no se puede determinar el valor de los activos, pese a que con los ajustes por inflación y las valorizaciones se dio un importante avance en minimizar las diferencias.</w:t>
      </w:r>
    </w:p>
    <w:p w:rsidR="00290C08" w:rsidRPr="0019422C" w:rsidRDefault="00290C08" w:rsidP="00290C08">
      <w:pPr>
        <w:spacing w:line="360" w:lineRule="auto"/>
        <w:ind w:left="108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7D6A1B" w:rsidRPr="0019422C" w:rsidRDefault="007D6A1B" w:rsidP="0019422C">
      <w:pPr>
        <w:pStyle w:val="Prrafodelista"/>
        <w:numPr>
          <w:ilvl w:val="0"/>
          <w:numId w:val="21"/>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La adquisición de maquinaria y herramientas para una fábrica de calzado es de $ 3000, sin embargo se lo adquirirá en $ 4500 a causa del proceso de inflación.</w:t>
      </w:r>
    </w:p>
    <w:p w:rsidR="00290C08" w:rsidRPr="0019422C" w:rsidRDefault="007D6A1B" w:rsidP="0019422C">
      <w:pPr>
        <w:pStyle w:val="Prrafodelista"/>
        <w:numPr>
          <w:ilvl w:val="0"/>
          <w:numId w:val="21"/>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lastRenderedPageBreak/>
        <w:t>Las instalaciones de un condominio se aprecian en $ 300, pero excede al precio de $ 500.</w:t>
      </w:r>
    </w:p>
    <w:p w:rsidR="00AE5EFC" w:rsidRPr="007D6A1B" w:rsidRDefault="00AE5EFC" w:rsidP="00AE5EFC">
      <w:pPr>
        <w:numPr>
          <w:ilvl w:val="0"/>
          <w:numId w:val="9"/>
        </w:numPr>
        <w:spacing w:line="360" w:lineRule="auto"/>
        <w:contextualSpacing/>
        <w:jc w:val="both"/>
        <w:rPr>
          <w:lang w:val="es-ES"/>
        </w:rPr>
      </w:pPr>
      <w:r w:rsidRPr="00AE5EFC">
        <w:rPr>
          <w:rFonts w:ascii="Times New Roman" w:hAnsi="Times New Roman" w:cs="Times New Roman"/>
          <w:sz w:val="24"/>
          <w:szCs w:val="24"/>
          <w:lang w:val="es-ES"/>
        </w:rPr>
        <w:t>Los estados de resultados no muestran algunas situaciones que afectan la situación la situación financiera y el resultado de las operaciones, como pueden ser gestión administrativa, el porcentaje de cumplimiento de los presupuestos, la productividad de los empleados, entre otros</w:t>
      </w:r>
      <w:r w:rsidR="007D6A1B">
        <w:rPr>
          <w:rFonts w:ascii="Times New Roman" w:hAnsi="Times New Roman" w:cs="Times New Roman"/>
          <w:sz w:val="24"/>
          <w:szCs w:val="24"/>
          <w:lang w:val="es-ES"/>
        </w:rPr>
        <w:t>.</w:t>
      </w:r>
    </w:p>
    <w:p w:rsidR="007D6A1B" w:rsidRPr="0019422C" w:rsidRDefault="007D6A1B" w:rsidP="007D6A1B">
      <w:pPr>
        <w:spacing w:line="360" w:lineRule="auto"/>
        <w:ind w:left="1080"/>
        <w:contextualSpacing/>
        <w:jc w:val="both"/>
        <w:rPr>
          <w:rFonts w:ascii="Eras Demi ITC" w:hAnsi="Eras Demi ITC" w:cs="Times New Roman"/>
          <w:color w:val="F79646" w:themeColor="accent6"/>
          <w:sz w:val="24"/>
          <w:szCs w:val="24"/>
          <w:lang w:val="es-ES"/>
        </w:rPr>
      </w:pPr>
      <w:r w:rsidRPr="0019422C">
        <w:rPr>
          <w:rFonts w:ascii="Eras Demi ITC" w:hAnsi="Eras Demi ITC" w:cs="Times New Roman"/>
          <w:color w:val="F79646" w:themeColor="accent6"/>
          <w:sz w:val="24"/>
          <w:szCs w:val="24"/>
          <w:lang w:val="es-ES"/>
        </w:rPr>
        <w:t>Ejemplo:</w:t>
      </w:r>
    </w:p>
    <w:p w:rsidR="007D6A1B" w:rsidRPr="0019422C" w:rsidRDefault="002C7E4B" w:rsidP="0019422C">
      <w:pPr>
        <w:pStyle w:val="Prrafodelista"/>
        <w:numPr>
          <w:ilvl w:val="0"/>
          <w:numId w:val="22"/>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 xml:space="preserve">La empresa “KFC” implanta un nuevo nivel económico del 80% en sus ventas, pero durante su desarrollo se considera una disminución </w:t>
      </w:r>
      <w:r w:rsidR="00050F7F" w:rsidRPr="0019422C">
        <w:rPr>
          <w:rFonts w:ascii="Times New Roman" w:hAnsi="Times New Roman" w:cs="Times New Roman"/>
          <w:sz w:val="24"/>
          <w:szCs w:val="24"/>
          <w:lang w:val="es-ES"/>
        </w:rPr>
        <w:t>del 65%.</w:t>
      </w:r>
      <w:r w:rsidRPr="0019422C">
        <w:rPr>
          <w:rFonts w:ascii="Times New Roman" w:hAnsi="Times New Roman" w:cs="Times New Roman"/>
          <w:sz w:val="24"/>
          <w:szCs w:val="24"/>
          <w:lang w:val="es-ES"/>
        </w:rPr>
        <w:t xml:space="preserve"> </w:t>
      </w:r>
    </w:p>
    <w:p w:rsidR="002C7E4B" w:rsidRPr="0019422C" w:rsidRDefault="002C7E4B" w:rsidP="0019422C">
      <w:pPr>
        <w:pStyle w:val="Prrafodelista"/>
        <w:numPr>
          <w:ilvl w:val="0"/>
          <w:numId w:val="22"/>
        </w:numPr>
        <w:spacing w:line="360" w:lineRule="auto"/>
        <w:jc w:val="both"/>
        <w:rPr>
          <w:rFonts w:ascii="Times New Roman" w:hAnsi="Times New Roman" w:cs="Times New Roman"/>
          <w:sz w:val="24"/>
          <w:szCs w:val="24"/>
          <w:lang w:val="es-ES"/>
        </w:rPr>
      </w:pPr>
      <w:r w:rsidRPr="0019422C">
        <w:rPr>
          <w:rFonts w:ascii="Times New Roman" w:hAnsi="Times New Roman" w:cs="Times New Roman"/>
          <w:sz w:val="24"/>
          <w:szCs w:val="24"/>
          <w:lang w:val="es-ES"/>
        </w:rPr>
        <w:t>La fábrica “Cisne” arranca sus actividades estableciendo un presupuesto de $200,000; es así que en la terminación del próximo año se excedió a $280,000.</w:t>
      </w:r>
      <w:sdt>
        <w:sdtPr>
          <w:rPr>
            <w:rFonts w:ascii="Times New Roman" w:hAnsi="Times New Roman" w:cs="Times New Roman"/>
            <w:sz w:val="24"/>
            <w:szCs w:val="24"/>
            <w:lang w:val="es-ES"/>
          </w:rPr>
          <w:id w:val="-1046678987"/>
          <w:citation/>
        </w:sdtPr>
        <w:sdtContent>
          <w:r w:rsidR="0019422C">
            <w:rPr>
              <w:rFonts w:ascii="Times New Roman" w:hAnsi="Times New Roman" w:cs="Times New Roman"/>
              <w:sz w:val="24"/>
              <w:szCs w:val="24"/>
              <w:lang w:val="es-ES"/>
            </w:rPr>
            <w:fldChar w:fldCharType="begin"/>
          </w:r>
          <w:r w:rsidR="0019422C">
            <w:rPr>
              <w:rFonts w:ascii="Times New Roman" w:hAnsi="Times New Roman" w:cs="Times New Roman"/>
              <w:sz w:val="24"/>
              <w:szCs w:val="24"/>
            </w:rPr>
            <w:instrText xml:space="preserve"> CITATION CIF \l 12298 </w:instrText>
          </w:r>
          <w:r w:rsidR="0019422C">
            <w:rPr>
              <w:rFonts w:ascii="Times New Roman" w:hAnsi="Times New Roman" w:cs="Times New Roman"/>
              <w:sz w:val="24"/>
              <w:szCs w:val="24"/>
              <w:lang w:val="es-ES"/>
            </w:rPr>
            <w:fldChar w:fldCharType="separate"/>
          </w:r>
          <w:r w:rsidR="000D0203">
            <w:rPr>
              <w:rFonts w:ascii="Times New Roman" w:hAnsi="Times New Roman" w:cs="Times New Roman"/>
              <w:noProof/>
              <w:sz w:val="24"/>
              <w:szCs w:val="24"/>
            </w:rPr>
            <w:t xml:space="preserve"> </w:t>
          </w:r>
          <w:r w:rsidR="000D0203" w:rsidRPr="000D0203">
            <w:rPr>
              <w:rFonts w:ascii="Times New Roman" w:hAnsi="Times New Roman" w:cs="Times New Roman"/>
              <w:noProof/>
              <w:sz w:val="24"/>
              <w:szCs w:val="24"/>
            </w:rPr>
            <w:t>(CIFUENTES)</w:t>
          </w:r>
          <w:r w:rsidR="0019422C">
            <w:rPr>
              <w:rFonts w:ascii="Times New Roman" w:hAnsi="Times New Roman" w:cs="Times New Roman"/>
              <w:sz w:val="24"/>
              <w:szCs w:val="24"/>
              <w:lang w:val="es-ES"/>
            </w:rPr>
            <w:fldChar w:fldCharType="end"/>
          </w:r>
        </w:sdtContent>
      </w:sdt>
    </w:p>
    <w:p w:rsidR="007D6A1B" w:rsidRDefault="007D6A1B" w:rsidP="007D6A1B">
      <w:pPr>
        <w:spacing w:line="360" w:lineRule="auto"/>
        <w:ind w:left="1080"/>
        <w:contextualSpacing/>
        <w:jc w:val="both"/>
        <w:rPr>
          <w:rFonts w:ascii="Times New Roman" w:hAnsi="Times New Roman" w:cs="Times New Roman"/>
          <w:sz w:val="24"/>
          <w:szCs w:val="24"/>
          <w:lang w:val="es-ES"/>
        </w:rPr>
      </w:pPr>
    </w:p>
    <w:p w:rsidR="007D6A1B" w:rsidRDefault="007D6A1B" w:rsidP="007D6A1B">
      <w:pPr>
        <w:spacing w:line="360" w:lineRule="auto"/>
        <w:ind w:left="1080"/>
        <w:contextualSpacing/>
        <w:jc w:val="both"/>
        <w:rPr>
          <w:rFonts w:ascii="Times New Roman" w:hAnsi="Times New Roman" w:cs="Times New Roman"/>
          <w:sz w:val="24"/>
          <w:szCs w:val="24"/>
          <w:lang w:val="es-ES"/>
        </w:rPr>
      </w:pPr>
    </w:p>
    <w:p w:rsidR="007D6A1B" w:rsidRDefault="007D6A1B"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Default="0019422C" w:rsidP="007D6A1B">
      <w:pPr>
        <w:spacing w:line="360" w:lineRule="auto"/>
        <w:ind w:left="1080"/>
        <w:contextualSpacing/>
        <w:jc w:val="both"/>
        <w:rPr>
          <w:lang w:val="es-ES"/>
        </w:rPr>
      </w:pPr>
    </w:p>
    <w:p w:rsidR="0019422C" w:rsidRPr="00AE5EFC" w:rsidRDefault="0019422C" w:rsidP="0019422C">
      <w:pPr>
        <w:spacing w:line="360" w:lineRule="auto"/>
        <w:contextualSpacing/>
        <w:jc w:val="both"/>
        <w:rPr>
          <w:lang w:val="es-ES"/>
        </w:rPr>
      </w:pPr>
    </w:p>
    <w:p w:rsidR="00AE5EFC" w:rsidRDefault="00050F7F" w:rsidP="00050F7F">
      <w:pPr>
        <w:spacing w:before="100" w:beforeAutospacing="1" w:after="100" w:afterAutospacing="1" w:line="360" w:lineRule="auto"/>
        <w:jc w:val="both"/>
        <w:rPr>
          <w:rFonts w:ascii="Times New Roman" w:eastAsia="Times New Roman" w:hAnsi="Times New Roman" w:cs="Times New Roman"/>
          <w:b/>
          <w:sz w:val="24"/>
          <w:szCs w:val="24"/>
          <w:lang w:val="es-ES" w:eastAsia="es-EC"/>
        </w:rPr>
      </w:pPr>
      <w:r>
        <w:rPr>
          <w:rFonts w:ascii="Times New Roman" w:eastAsia="Times New Roman" w:hAnsi="Times New Roman" w:cs="Times New Roman"/>
          <w:b/>
          <w:sz w:val="24"/>
          <w:szCs w:val="24"/>
          <w:lang w:val="es-ES" w:eastAsia="es-EC"/>
        </w:rPr>
        <w:lastRenderedPageBreak/>
        <w:t>CONCLUSIONES</w:t>
      </w:r>
    </w:p>
    <w:p w:rsidR="00050F7F" w:rsidRDefault="00050F7F" w:rsidP="00050F7F">
      <w:pPr>
        <w:spacing w:before="100" w:beforeAutospacing="1" w:after="100" w:afterAutospacing="1" w:line="360" w:lineRule="auto"/>
        <w:jc w:val="both"/>
        <w:rPr>
          <w:rFonts w:ascii="Times New Roman" w:eastAsia="Times New Roman" w:hAnsi="Times New Roman" w:cs="Times New Roman"/>
          <w:sz w:val="24"/>
          <w:szCs w:val="24"/>
          <w:lang w:val="es-ES" w:eastAsia="es-EC"/>
        </w:rPr>
      </w:pPr>
      <w:r>
        <w:rPr>
          <w:rFonts w:ascii="Times New Roman" w:eastAsia="Times New Roman" w:hAnsi="Times New Roman" w:cs="Times New Roman"/>
          <w:sz w:val="24"/>
          <w:szCs w:val="24"/>
          <w:lang w:val="es-ES" w:eastAsia="es-EC"/>
        </w:rPr>
        <w:t>Se concluye que;</w:t>
      </w:r>
    </w:p>
    <w:p w:rsidR="00050F7F" w:rsidRDefault="00050F7F" w:rsidP="00050F7F">
      <w:pPr>
        <w:pStyle w:val="Prrafodelista"/>
        <w:numPr>
          <w:ilvl w:val="0"/>
          <w:numId w:val="10"/>
        </w:numPr>
        <w:spacing w:before="100" w:beforeAutospacing="1" w:after="100" w:afterAutospacing="1" w:line="360" w:lineRule="auto"/>
        <w:jc w:val="both"/>
        <w:rPr>
          <w:rFonts w:ascii="Times New Roman" w:eastAsia="Times New Roman" w:hAnsi="Times New Roman" w:cs="Times New Roman"/>
          <w:sz w:val="24"/>
          <w:szCs w:val="24"/>
          <w:lang w:val="es-ES"/>
        </w:rPr>
      </w:pPr>
      <w:r w:rsidRPr="00050F7F">
        <w:rPr>
          <w:rFonts w:ascii="Times New Roman" w:eastAsia="Times New Roman" w:hAnsi="Times New Roman" w:cs="Times New Roman"/>
          <w:sz w:val="24"/>
          <w:szCs w:val="24"/>
          <w:lang w:val="es-ES"/>
        </w:rPr>
        <w:t xml:space="preserve">Las NIIF aplicadas en la preparación de estados financieros, </w:t>
      </w:r>
      <w:r>
        <w:rPr>
          <w:rFonts w:ascii="Times New Roman" w:eastAsia="Times New Roman" w:hAnsi="Times New Roman" w:cs="Times New Roman"/>
          <w:sz w:val="24"/>
          <w:szCs w:val="24"/>
          <w:lang w:val="es-ES"/>
        </w:rPr>
        <w:t>se convierten en la base c</w:t>
      </w:r>
      <w:r w:rsidRPr="00050F7F">
        <w:rPr>
          <w:rFonts w:ascii="Times New Roman" w:eastAsia="Times New Roman" w:hAnsi="Times New Roman" w:cs="Times New Roman"/>
          <w:sz w:val="24"/>
          <w:szCs w:val="24"/>
          <w:lang w:val="es-ES"/>
        </w:rPr>
        <w:t>ontabl</w:t>
      </w:r>
      <w:r>
        <w:rPr>
          <w:rFonts w:ascii="Times New Roman" w:eastAsia="Times New Roman" w:hAnsi="Times New Roman" w:cs="Times New Roman"/>
          <w:sz w:val="24"/>
          <w:szCs w:val="24"/>
          <w:lang w:val="es-ES"/>
        </w:rPr>
        <w:t>e  más usado y difundido por los profesionales</w:t>
      </w:r>
      <w:r w:rsidRPr="00050F7F">
        <w:rPr>
          <w:rFonts w:ascii="Times New Roman" w:eastAsia="Times New Roman" w:hAnsi="Times New Roman" w:cs="Times New Roman"/>
          <w:sz w:val="24"/>
          <w:szCs w:val="24"/>
          <w:lang w:val="es-ES"/>
        </w:rPr>
        <w:t>, y los usuarios de esta información exigirán que la misma sea preparada bajo esa normatividad.</w:t>
      </w:r>
    </w:p>
    <w:p w:rsidR="00050F7F" w:rsidRDefault="00050F7F" w:rsidP="00050F7F">
      <w:pPr>
        <w:pStyle w:val="Prrafodelista"/>
        <w:numPr>
          <w:ilvl w:val="0"/>
          <w:numId w:val="10"/>
        </w:numPr>
        <w:spacing w:before="100" w:beforeAutospacing="1" w:after="100" w:afterAutospacing="1" w:line="360" w:lineRule="auto"/>
        <w:jc w:val="both"/>
        <w:rPr>
          <w:rFonts w:ascii="Times New Roman" w:eastAsia="Times New Roman" w:hAnsi="Times New Roman" w:cs="Times New Roman"/>
          <w:sz w:val="24"/>
          <w:szCs w:val="24"/>
          <w:lang w:val="es-ES"/>
        </w:rPr>
      </w:pPr>
      <w:r w:rsidRPr="00050F7F">
        <w:rPr>
          <w:rFonts w:ascii="Times New Roman" w:eastAsia="Times New Roman" w:hAnsi="Times New Roman" w:cs="Times New Roman"/>
          <w:sz w:val="24"/>
          <w:szCs w:val="24"/>
          <w:lang w:val="es-ES"/>
        </w:rPr>
        <w:t>Los estados financieros preparados bajo NIIF, necesariamente reflejarán en forma más razonable, la realidad económica de los negocios o de cualquier entidad.</w:t>
      </w:r>
    </w:p>
    <w:p w:rsidR="00050F7F" w:rsidRDefault="00050F7F" w:rsidP="00050F7F">
      <w:pPr>
        <w:spacing w:before="100" w:beforeAutospacing="1" w:after="100" w:afterAutospacing="1" w:line="360" w:lineRule="auto"/>
        <w:jc w:val="both"/>
        <w:rPr>
          <w:rFonts w:ascii="Times New Roman" w:eastAsia="Times New Roman" w:hAnsi="Times New Roman" w:cs="Times New Roman"/>
          <w:b/>
          <w:sz w:val="24"/>
          <w:szCs w:val="24"/>
          <w:lang w:val="es-ES"/>
        </w:rPr>
      </w:pPr>
      <w:r>
        <w:rPr>
          <w:rFonts w:ascii="Times New Roman" w:eastAsia="Times New Roman" w:hAnsi="Times New Roman" w:cs="Times New Roman"/>
          <w:b/>
          <w:sz w:val="24"/>
          <w:szCs w:val="24"/>
          <w:lang w:val="es-ES"/>
        </w:rPr>
        <w:t>RECOMENDACIONES</w:t>
      </w:r>
    </w:p>
    <w:p w:rsidR="00050F7F" w:rsidRDefault="00050F7F" w:rsidP="00050F7F">
      <w:pPr>
        <w:spacing w:before="100" w:beforeAutospacing="1" w:after="100" w:afterAutospacing="1" w:line="360" w:lineRule="auto"/>
        <w:jc w:val="both"/>
        <w:rPr>
          <w:rFonts w:ascii="Times New Roman" w:eastAsia="Times New Roman" w:hAnsi="Times New Roman" w:cs="Times New Roman"/>
          <w:sz w:val="24"/>
          <w:szCs w:val="24"/>
          <w:lang w:val="es-ES"/>
        </w:rPr>
      </w:pPr>
      <w:r>
        <w:rPr>
          <w:rFonts w:ascii="Times New Roman" w:eastAsia="Times New Roman" w:hAnsi="Times New Roman" w:cs="Times New Roman"/>
          <w:sz w:val="24"/>
          <w:szCs w:val="24"/>
          <w:lang w:val="es-ES"/>
        </w:rPr>
        <w:t>Se recomienda que;</w:t>
      </w:r>
    </w:p>
    <w:p w:rsidR="00050F7F" w:rsidRPr="00050F7F" w:rsidRDefault="00050F7F" w:rsidP="00050F7F">
      <w:pPr>
        <w:pStyle w:val="Prrafodelista"/>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s-ES"/>
        </w:rPr>
      </w:pPr>
      <w:r w:rsidRPr="00050F7F">
        <w:rPr>
          <w:rFonts w:ascii="Times New Roman" w:eastAsia="Times New Roman" w:hAnsi="Times New Roman" w:cs="Times New Roman"/>
          <w:sz w:val="24"/>
          <w:szCs w:val="24"/>
          <w:lang w:val="es-ES"/>
        </w:rPr>
        <w:t>En función de la Superintendencia de Compañías, como un aporte de nuestros conocimientos, se ha considerado de vital importancia difundir en forma general y resumida, las consideraciones más significativas de las Normas Internacionales de Información Financiera (NIIF).</w:t>
      </w:r>
    </w:p>
    <w:p w:rsidR="00050F7F" w:rsidRPr="00050F7F" w:rsidRDefault="00050F7F" w:rsidP="00050F7F">
      <w:pPr>
        <w:pStyle w:val="Prrafodelista"/>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s-ES"/>
        </w:rPr>
      </w:pPr>
      <w:r w:rsidRPr="00050F7F">
        <w:rPr>
          <w:rFonts w:ascii="Times New Roman" w:eastAsia="Times New Roman" w:hAnsi="Times New Roman" w:cs="Times New Roman"/>
          <w:sz w:val="24"/>
          <w:szCs w:val="24"/>
          <w:lang w:val="es-ES"/>
        </w:rPr>
        <w:t>La finalidad que los administradores y el personal contable de cada una de sus entidades, tenga presente la normatividad, previas para el proceso de los estados financieros que debe ser aplicado por las empresas y/o compañías sometidas a un control.</w:t>
      </w:r>
    </w:p>
    <w:p w:rsidR="00050F7F" w:rsidRPr="00E62596" w:rsidRDefault="00050F7F" w:rsidP="00753344">
      <w:pPr>
        <w:spacing w:before="100" w:beforeAutospacing="1" w:after="100" w:afterAutospacing="1" w:line="360" w:lineRule="auto"/>
        <w:jc w:val="both"/>
        <w:rPr>
          <w:rFonts w:ascii="Times New Roman" w:eastAsia="Times New Roman" w:hAnsi="Times New Roman" w:cs="Times New Roman"/>
          <w:sz w:val="24"/>
          <w:szCs w:val="24"/>
          <w:lang w:val="es-ES" w:eastAsia="es-EC"/>
        </w:rPr>
      </w:pPr>
    </w:p>
    <w:p w:rsidR="00E62596" w:rsidRPr="00E62596" w:rsidRDefault="00E62596" w:rsidP="00E62596">
      <w:pPr>
        <w:spacing w:before="100" w:beforeAutospacing="1" w:after="100" w:afterAutospacing="1" w:line="360" w:lineRule="auto"/>
        <w:jc w:val="both"/>
        <w:rPr>
          <w:rFonts w:ascii="Times New Roman" w:eastAsia="Times New Roman" w:hAnsi="Times New Roman" w:cs="Times New Roman"/>
          <w:sz w:val="24"/>
          <w:szCs w:val="24"/>
          <w:lang w:eastAsia="es-EC"/>
        </w:rPr>
      </w:pPr>
    </w:p>
    <w:p w:rsidR="008E5C97" w:rsidRPr="00AC5B0C" w:rsidRDefault="00E62596" w:rsidP="00E62596">
      <w:pPr>
        <w:spacing w:before="100" w:beforeAutospacing="1" w:after="100" w:afterAutospacing="1" w:line="36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b/>
          <w:sz w:val="24"/>
          <w:szCs w:val="24"/>
          <w:lang w:eastAsia="es-EC"/>
        </w:rPr>
        <w:t xml:space="preserve"> </w:t>
      </w:r>
      <w:r>
        <w:rPr>
          <w:rFonts w:ascii="Times New Roman" w:eastAsia="Times New Roman" w:hAnsi="Times New Roman" w:cs="Times New Roman"/>
          <w:sz w:val="24"/>
          <w:szCs w:val="24"/>
          <w:lang w:eastAsia="es-EC"/>
        </w:rPr>
        <w:tab/>
      </w:r>
    </w:p>
    <w:p w:rsidR="00AC5B0C" w:rsidRPr="00AC5B0C" w:rsidRDefault="00AC5B0C" w:rsidP="0085030D">
      <w:pPr>
        <w:pStyle w:val="NormalWeb"/>
        <w:spacing w:line="360" w:lineRule="auto"/>
        <w:jc w:val="both"/>
      </w:pPr>
    </w:p>
    <w:p w:rsidR="00816C2E" w:rsidRPr="004A6EB0" w:rsidRDefault="00816C2E" w:rsidP="00816C2E">
      <w:pPr>
        <w:spacing w:before="100" w:beforeAutospacing="1" w:after="100" w:afterAutospacing="1" w:line="360" w:lineRule="auto"/>
        <w:jc w:val="both"/>
        <w:rPr>
          <w:rFonts w:ascii="Times New Roman" w:eastAsia="Times New Roman" w:hAnsi="Times New Roman" w:cs="Times New Roman"/>
          <w:sz w:val="24"/>
          <w:szCs w:val="24"/>
          <w:lang w:eastAsia="es-EC"/>
        </w:rPr>
      </w:pPr>
    </w:p>
    <w:p w:rsidR="004A6EB0" w:rsidRDefault="004A6EB0" w:rsidP="004A6EB0">
      <w:pPr>
        <w:spacing w:before="100" w:beforeAutospacing="1" w:after="100" w:afterAutospacing="1" w:line="360" w:lineRule="auto"/>
        <w:jc w:val="both"/>
        <w:rPr>
          <w:rFonts w:ascii="Times New Roman" w:eastAsia="Times New Roman" w:hAnsi="Times New Roman" w:cs="Times New Roman"/>
          <w:sz w:val="24"/>
          <w:szCs w:val="24"/>
          <w:lang w:eastAsia="es-EC"/>
        </w:rPr>
      </w:pPr>
    </w:p>
    <w:sdt>
      <w:sdtPr>
        <w:rPr>
          <w:lang w:val="es-ES"/>
        </w:rPr>
        <w:id w:val="1005702837"/>
        <w:docPartObj>
          <w:docPartGallery w:val="Bibliographies"/>
          <w:docPartUnique/>
        </w:docPartObj>
      </w:sdtPr>
      <w:sdtEndPr>
        <w:rPr>
          <w:rFonts w:asciiTheme="minorHAnsi" w:eastAsiaTheme="minorHAnsi" w:hAnsiTheme="minorHAnsi" w:cstheme="minorBidi"/>
          <w:b w:val="0"/>
          <w:bCs w:val="0"/>
          <w:color w:val="auto"/>
          <w:sz w:val="22"/>
          <w:szCs w:val="22"/>
          <w:lang w:val="es-EC" w:eastAsia="en-US"/>
        </w:rPr>
      </w:sdtEndPr>
      <w:sdtContent>
        <w:p w:rsidR="000D0203" w:rsidRDefault="000D0203" w:rsidP="000D0203">
          <w:pPr>
            <w:pStyle w:val="Ttulo1"/>
            <w:spacing w:line="360" w:lineRule="auto"/>
            <w:jc w:val="both"/>
          </w:pPr>
          <w:r>
            <w:rPr>
              <w:lang w:val="es-ES"/>
            </w:rPr>
            <w:t>Bibliografía</w:t>
          </w:r>
          <w:bookmarkStart w:id="0" w:name="_GoBack"/>
          <w:bookmarkEnd w:id="0"/>
        </w:p>
        <w:sdt>
          <w:sdtPr>
            <w:id w:val="111145805"/>
            <w:bibliography/>
          </w:sdtPr>
          <w:sdtContent>
            <w:p w:rsidR="000D0203" w:rsidRDefault="000D0203" w:rsidP="000D0203">
              <w:pPr>
                <w:pStyle w:val="Bibliografa"/>
                <w:ind w:left="720" w:hanging="720"/>
                <w:rPr>
                  <w:noProof/>
                </w:rPr>
              </w:pPr>
              <w:r>
                <w:fldChar w:fldCharType="begin"/>
              </w:r>
              <w:r>
                <w:instrText>BIBLIOGRAPHY</w:instrText>
              </w:r>
              <w:r>
                <w:fldChar w:fldCharType="separate"/>
              </w:r>
              <w:r>
                <w:rPr>
                  <w:noProof/>
                </w:rPr>
                <w:t xml:space="preserve">CIFUENTES, J. P, </w:t>
              </w:r>
              <w:r>
                <w:rPr>
                  <w:i/>
                  <w:iCs/>
                  <w:noProof/>
                </w:rPr>
                <w:t>Análisis Financiero</w:t>
              </w:r>
              <w:r>
                <w:rPr>
                  <w:noProof/>
                </w:rPr>
                <w:t xml:space="preserve"> (págs. 3 - 5). Santa Fe de Bogotá : Fusm.</w:t>
              </w:r>
            </w:p>
            <w:p w:rsidR="000D0203" w:rsidRDefault="000D0203" w:rsidP="000D0203">
              <w:pPr>
                <w:pStyle w:val="Bibliografa"/>
                <w:ind w:left="720" w:hanging="720"/>
                <w:rPr>
                  <w:noProof/>
                </w:rPr>
              </w:pPr>
              <w:r>
                <w:rPr>
                  <w:noProof/>
                </w:rPr>
                <w:t xml:space="preserve">ZAMBRANO, R. (2008). NIFFS. En R. ZAMBRANO, </w:t>
              </w:r>
              <w:r>
                <w:rPr>
                  <w:i/>
                  <w:iCs/>
                  <w:noProof/>
                </w:rPr>
                <w:t>NIFFS</w:t>
              </w:r>
              <w:r>
                <w:rPr>
                  <w:noProof/>
                </w:rPr>
                <w:t xml:space="preserve"> (págs. 5 - 291). Edicontab.</w:t>
              </w:r>
            </w:p>
            <w:p w:rsidR="000D0203" w:rsidRDefault="000D0203" w:rsidP="000D0203">
              <w:pPr>
                <w:spacing w:line="360" w:lineRule="auto"/>
                <w:jc w:val="both"/>
              </w:pPr>
              <w:r>
                <w:rPr>
                  <w:b/>
                  <w:bCs/>
                </w:rPr>
                <w:fldChar w:fldCharType="end"/>
              </w:r>
            </w:p>
          </w:sdtContent>
        </w:sdt>
      </w:sdtContent>
    </w:sdt>
    <w:p w:rsidR="000D0203" w:rsidRPr="004A6EB0" w:rsidRDefault="000D0203" w:rsidP="004A6EB0">
      <w:pPr>
        <w:spacing w:before="100" w:beforeAutospacing="1" w:after="100" w:afterAutospacing="1" w:line="360" w:lineRule="auto"/>
        <w:jc w:val="both"/>
        <w:rPr>
          <w:rFonts w:ascii="Times New Roman" w:eastAsia="Times New Roman" w:hAnsi="Times New Roman" w:cs="Times New Roman"/>
          <w:sz w:val="24"/>
          <w:szCs w:val="24"/>
          <w:lang w:eastAsia="es-EC"/>
        </w:rPr>
      </w:pPr>
    </w:p>
    <w:p w:rsidR="004A6EB0" w:rsidRPr="004A6EB0" w:rsidRDefault="004A6EB0" w:rsidP="004A6EB0">
      <w:pPr>
        <w:spacing w:before="100" w:beforeAutospacing="1" w:after="100" w:afterAutospacing="1" w:line="360" w:lineRule="auto"/>
        <w:jc w:val="both"/>
        <w:rPr>
          <w:rFonts w:ascii="Times New Roman" w:eastAsia="Times New Roman" w:hAnsi="Times New Roman" w:cs="Times New Roman"/>
          <w:sz w:val="24"/>
          <w:szCs w:val="24"/>
          <w:lang w:eastAsia="es-EC"/>
        </w:rPr>
      </w:pPr>
    </w:p>
    <w:p w:rsidR="004A6EB0" w:rsidRPr="004A6EB0" w:rsidRDefault="004A6EB0" w:rsidP="004A6EB0">
      <w:pPr>
        <w:spacing w:before="100" w:beforeAutospacing="1" w:after="100" w:afterAutospacing="1" w:line="360" w:lineRule="auto"/>
        <w:jc w:val="both"/>
        <w:rPr>
          <w:rFonts w:ascii="Times New Roman" w:eastAsia="Times New Roman" w:hAnsi="Times New Roman" w:cs="Times New Roman"/>
          <w:b/>
          <w:sz w:val="24"/>
          <w:szCs w:val="24"/>
          <w:lang w:eastAsia="es-EC"/>
        </w:rPr>
      </w:pPr>
    </w:p>
    <w:p w:rsidR="004A6EB0" w:rsidRPr="004A6EB0" w:rsidRDefault="004A6EB0" w:rsidP="004A6EB0">
      <w:pPr>
        <w:spacing w:before="100" w:beforeAutospacing="1" w:after="100" w:afterAutospacing="1" w:line="360" w:lineRule="auto"/>
        <w:jc w:val="both"/>
        <w:rPr>
          <w:rFonts w:ascii="Times New Roman" w:eastAsia="Times New Roman" w:hAnsi="Times New Roman" w:cs="Times New Roman"/>
          <w:sz w:val="24"/>
          <w:szCs w:val="24"/>
          <w:lang w:eastAsia="es-EC"/>
        </w:rPr>
      </w:pPr>
    </w:p>
    <w:p w:rsidR="00556A01" w:rsidRPr="00556A01" w:rsidRDefault="00556A01" w:rsidP="00556A01">
      <w:pPr>
        <w:spacing w:line="360" w:lineRule="auto"/>
        <w:jc w:val="center"/>
        <w:rPr>
          <w:rFonts w:ascii="Rockwell" w:hAnsi="Rockwell" w:cs="Times New Roman"/>
          <w:b/>
          <w:color w:val="666699"/>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Default="00556A01" w:rsidP="004F0455">
      <w:pPr>
        <w:spacing w:line="360" w:lineRule="auto"/>
        <w:jc w:val="both"/>
        <w:rPr>
          <w:rFonts w:ascii="Times New Roman" w:hAnsi="Times New Roman" w:cs="Times New Roman"/>
          <w:b/>
          <w:sz w:val="24"/>
        </w:rPr>
      </w:pPr>
    </w:p>
    <w:p w:rsidR="00556A01" w:rsidRPr="006D0E26" w:rsidRDefault="00556A01" w:rsidP="004F0455">
      <w:pPr>
        <w:spacing w:line="360" w:lineRule="auto"/>
        <w:jc w:val="both"/>
        <w:rPr>
          <w:rFonts w:ascii="Times New Roman" w:hAnsi="Times New Roman" w:cs="Times New Roman"/>
          <w:b/>
          <w:sz w:val="24"/>
        </w:rPr>
      </w:pPr>
    </w:p>
    <w:sectPr w:rsidR="00556A01" w:rsidRPr="006D0E2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kerville Old Face">
    <w:panose1 w:val="02020602080505020303"/>
    <w:charset w:val="00"/>
    <w:family w:val="roman"/>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Rockwell">
    <w:panose1 w:val="02060603020205020403"/>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Eras Demi ITC">
    <w:panose1 w:val="020B08050305040208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9.75pt;height:9.75pt" o:bullet="t">
        <v:imagedata r:id="rId1" o:title="BD21308_"/>
      </v:shape>
    </w:pict>
  </w:numPicBullet>
  <w:abstractNum w:abstractNumId="0">
    <w:nsid w:val="07BD0EA9"/>
    <w:multiLevelType w:val="hybridMultilevel"/>
    <w:tmpl w:val="3884A850"/>
    <w:lvl w:ilvl="0" w:tplc="B32AD338">
      <w:start w:val="1"/>
      <w:numFmt w:val="bullet"/>
      <w:lvlText w:val=""/>
      <w:lvlJc w:val="left"/>
      <w:pPr>
        <w:ind w:left="720" w:hanging="360"/>
      </w:pPr>
      <w:rPr>
        <w:rFonts w:ascii="Baskerville Old Face" w:hAnsi="Baskerville Old Face"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A2E339F"/>
    <w:multiLevelType w:val="hybridMultilevel"/>
    <w:tmpl w:val="1CD681B0"/>
    <w:lvl w:ilvl="0" w:tplc="74765608">
      <w:start w:val="1"/>
      <w:numFmt w:val="bullet"/>
      <w:lvlText w:val=""/>
      <w:lvlPicBulletId w:val="0"/>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
    <w:nsid w:val="0B7956FD"/>
    <w:multiLevelType w:val="hybridMultilevel"/>
    <w:tmpl w:val="03308C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3210221"/>
    <w:multiLevelType w:val="hybridMultilevel"/>
    <w:tmpl w:val="2D3A563A"/>
    <w:lvl w:ilvl="0" w:tplc="74765608">
      <w:start w:val="1"/>
      <w:numFmt w:val="bullet"/>
      <w:lvlText w:val=""/>
      <w:lvlPicBulletId w:val="0"/>
      <w:lvlJc w:val="left"/>
      <w:pPr>
        <w:ind w:left="1800" w:hanging="360"/>
      </w:pPr>
      <w:rPr>
        <w:rFonts w:ascii="Symbol" w:hAnsi="Symbol" w:hint="default"/>
        <w:color w:val="auto"/>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4">
    <w:nsid w:val="1E334049"/>
    <w:multiLevelType w:val="hybridMultilevel"/>
    <w:tmpl w:val="A1388D58"/>
    <w:lvl w:ilvl="0" w:tplc="74765608">
      <w:start w:val="1"/>
      <w:numFmt w:val="bullet"/>
      <w:lvlText w:val=""/>
      <w:lvlPicBulletId w:val="0"/>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5">
    <w:nsid w:val="29975390"/>
    <w:multiLevelType w:val="hybridMultilevel"/>
    <w:tmpl w:val="AE1A9ED6"/>
    <w:lvl w:ilvl="0" w:tplc="F258C9A0">
      <w:start w:val="1"/>
      <w:numFmt w:val="lowerLetter"/>
      <w:lvlText w:val="(%1)"/>
      <w:lvlJc w:val="left"/>
      <w:pPr>
        <w:ind w:left="960" w:hanging="360"/>
      </w:pPr>
      <w:rPr>
        <w:rFonts w:hint="default"/>
      </w:rPr>
    </w:lvl>
    <w:lvl w:ilvl="1" w:tplc="300A0019" w:tentative="1">
      <w:start w:val="1"/>
      <w:numFmt w:val="lowerLetter"/>
      <w:lvlText w:val="%2."/>
      <w:lvlJc w:val="left"/>
      <w:pPr>
        <w:ind w:left="1680" w:hanging="360"/>
      </w:pPr>
    </w:lvl>
    <w:lvl w:ilvl="2" w:tplc="300A001B" w:tentative="1">
      <w:start w:val="1"/>
      <w:numFmt w:val="lowerRoman"/>
      <w:lvlText w:val="%3."/>
      <w:lvlJc w:val="right"/>
      <w:pPr>
        <w:ind w:left="2400" w:hanging="180"/>
      </w:pPr>
    </w:lvl>
    <w:lvl w:ilvl="3" w:tplc="300A000F" w:tentative="1">
      <w:start w:val="1"/>
      <w:numFmt w:val="decimal"/>
      <w:lvlText w:val="%4."/>
      <w:lvlJc w:val="left"/>
      <w:pPr>
        <w:ind w:left="3120" w:hanging="360"/>
      </w:pPr>
    </w:lvl>
    <w:lvl w:ilvl="4" w:tplc="300A0019" w:tentative="1">
      <w:start w:val="1"/>
      <w:numFmt w:val="lowerLetter"/>
      <w:lvlText w:val="%5."/>
      <w:lvlJc w:val="left"/>
      <w:pPr>
        <w:ind w:left="3840" w:hanging="360"/>
      </w:pPr>
    </w:lvl>
    <w:lvl w:ilvl="5" w:tplc="300A001B" w:tentative="1">
      <w:start w:val="1"/>
      <w:numFmt w:val="lowerRoman"/>
      <w:lvlText w:val="%6."/>
      <w:lvlJc w:val="right"/>
      <w:pPr>
        <w:ind w:left="4560" w:hanging="180"/>
      </w:pPr>
    </w:lvl>
    <w:lvl w:ilvl="6" w:tplc="300A000F" w:tentative="1">
      <w:start w:val="1"/>
      <w:numFmt w:val="decimal"/>
      <w:lvlText w:val="%7."/>
      <w:lvlJc w:val="left"/>
      <w:pPr>
        <w:ind w:left="5280" w:hanging="360"/>
      </w:pPr>
    </w:lvl>
    <w:lvl w:ilvl="7" w:tplc="300A0019" w:tentative="1">
      <w:start w:val="1"/>
      <w:numFmt w:val="lowerLetter"/>
      <w:lvlText w:val="%8."/>
      <w:lvlJc w:val="left"/>
      <w:pPr>
        <w:ind w:left="6000" w:hanging="360"/>
      </w:pPr>
    </w:lvl>
    <w:lvl w:ilvl="8" w:tplc="300A001B" w:tentative="1">
      <w:start w:val="1"/>
      <w:numFmt w:val="lowerRoman"/>
      <w:lvlText w:val="%9."/>
      <w:lvlJc w:val="right"/>
      <w:pPr>
        <w:ind w:left="6720" w:hanging="180"/>
      </w:pPr>
    </w:lvl>
  </w:abstractNum>
  <w:abstractNum w:abstractNumId="6">
    <w:nsid w:val="2AC17108"/>
    <w:multiLevelType w:val="hybridMultilevel"/>
    <w:tmpl w:val="3D5438C6"/>
    <w:lvl w:ilvl="0" w:tplc="74765608">
      <w:start w:val="1"/>
      <w:numFmt w:val="bullet"/>
      <w:lvlText w:val=""/>
      <w:lvlPicBulletId w:val="0"/>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7">
    <w:nsid w:val="2CBC66E0"/>
    <w:multiLevelType w:val="hybridMultilevel"/>
    <w:tmpl w:val="4CF81C1E"/>
    <w:lvl w:ilvl="0" w:tplc="0C0A0009">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320A6D8A"/>
    <w:multiLevelType w:val="hybridMultilevel"/>
    <w:tmpl w:val="41E41E20"/>
    <w:lvl w:ilvl="0" w:tplc="74765608">
      <w:start w:val="1"/>
      <w:numFmt w:val="bullet"/>
      <w:lvlText w:val=""/>
      <w:lvlPicBulletId w:val="0"/>
      <w:lvlJc w:val="left"/>
      <w:pPr>
        <w:ind w:left="1800" w:hanging="360"/>
      </w:pPr>
      <w:rPr>
        <w:rFonts w:ascii="Symbol" w:hAnsi="Symbol" w:hint="default"/>
        <w:color w:val="auto"/>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9">
    <w:nsid w:val="339510AB"/>
    <w:multiLevelType w:val="hybridMultilevel"/>
    <w:tmpl w:val="73DE831A"/>
    <w:lvl w:ilvl="0" w:tplc="2D2ECDBE">
      <w:start w:val="1"/>
      <w:numFmt w:val="lowerLetter"/>
      <w:lvlText w:val="(%1)"/>
      <w:lvlJc w:val="left"/>
      <w:pPr>
        <w:ind w:left="960" w:hanging="360"/>
      </w:pPr>
      <w:rPr>
        <w:rFonts w:hint="default"/>
      </w:rPr>
    </w:lvl>
    <w:lvl w:ilvl="1" w:tplc="300A0019" w:tentative="1">
      <w:start w:val="1"/>
      <w:numFmt w:val="lowerLetter"/>
      <w:lvlText w:val="%2."/>
      <w:lvlJc w:val="left"/>
      <w:pPr>
        <w:ind w:left="1680" w:hanging="360"/>
      </w:pPr>
    </w:lvl>
    <w:lvl w:ilvl="2" w:tplc="300A001B" w:tentative="1">
      <w:start w:val="1"/>
      <w:numFmt w:val="lowerRoman"/>
      <w:lvlText w:val="%3."/>
      <w:lvlJc w:val="right"/>
      <w:pPr>
        <w:ind w:left="2400" w:hanging="180"/>
      </w:pPr>
    </w:lvl>
    <w:lvl w:ilvl="3" w:tplc="300A000F" w:tentative="1">
      <w:start w:val="1"/>
      <w:numFmt w:val="decimal"/>
      <w:lvlText w:val="%4."/>
      <w:lvlJc w:val="left"/>
      <w:pPr>
        <w:ind w:left="3120" w:hanging="360"/>
      </w:pPr>
    </w:lvl>
    <w:lvl w:ilvl="4" w:tplc="300A0019" w:tentative="1">
      <w:start w:val="1"/>
      <w:numFmt w:val="lowerLetter"/>
      <w:lvlText w:val="%5."/>
      <w:lvlJc w:val="left"/>
      <w:pPr>
        <w:ind w:left="3840" w:hanging="360"/>
      </w:pPr>
    </w:lvl>
    <w:lvl w:ilvl="5" w:tplc="300A001B" w:tentative="1">
      <w:start w:val="1"/>
      <w:numFmt w:val="lowerRoman"/>
      <w:lvlText w:val="%6."/>
      <w:lvlJc w:val="right"/>
      <w:pPr>
        <w:ind w:left="4560" w:hanging="180"/>
      </w:pPr>
    </w:lvl>
    <w:lvl w:ilvl="6" w:tplc="300A000F" w:tentative="1">
      <w:start w:val="1"/>
      <w:numFmt w:val="decimal"/>
      <w:lvlText w:val="%7."/>
      <w:lvlJc w:val="left"/>
      <w:pPr>
        <w:ind w:left="5280" w:hanging="360"/>
      </w:pPr>
    </w:lvl>
    <w:lvl w:ilvl="7" w:tplc="300A0019" w:tentative="1">
      <w:start w:val="1"/>
      <w:numFmt w:val="lowerLetter"/>
      <w:lvlText w:val="%8."/>
      <w:lvlJc w:val="left"/>
      <w:pPr>
        <w:ind w:left="6000" w:hanging="360"/>
      </w:pPr>
    </w:lvl>
    <w:lvl w:ilvl="8" w:tplc="300A001B" w:tentative="1">
      <w:start w:val="1"/>
      <w:numFmt w:val="lowerRoman"/>
      <w:lvlText w:val="%9."/>
      <w:lvlJc w:val="right"/>
      <w:pPr>
        <w:ind w:left="6720" w:hanging="180"/>
      </w:pPr>
    </w:lvl>
  </w:abstractNum>
  <w:abstractNum w:abstractNumId="10">
    <w:nsid w:val="412D21D8"/>
    <w:multiLevelType w:val="hybridMultilevel"/>
    <w:tmpl w:val="8728A724"/>
    <w:lvl w:ilvl="0" w:tplc="74765608">
      <w:start w:val="1"/>
      <w:numFmt w:val="bullet"/>
      <w:lvlText w:val=""/>
      <w:lvlPicBulletId w:val="0"/>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1">
    <w:nsid w:val="47293840"/>
    <w:multiLevelType w:val="hybridMultilevel"/>
    <w:tmpl w:val="6B2E29F2"/>
    <w:lvl w:ilvl="0" w:tplc="5086A326">
      <w:start w:val="1"/>
      <w:numFmt w:val="lowerLetter"/>
      <w:lvlText w:val="(%1)"/>
      <w:lvlJc w:val="left"/>
      <w:pPr>
        <w:ind w:left="960" w:hanging="360"/>
      </w:pPr>
      <w:rPr>
        <w:rFonts w:hint="default"/>
      </w:rPr>
    </w:lvl>
    <w:lvl w:ilvl="1" w:tplc="300A0019" w:tentative="1">
      <w:start w:val="1"/>
      <w:numFmt w:val="lowerLetter"/>
      <w:lvlText w:val="%2."/>
      <w:lvlJc w:val="left"/>
      <w:pPr>
        <w:ind w:left="1680" w:hanging="360"/>
      </w:pPr>
    </w:lvl>
    <w:lvl w:ilvl="2" w:tplc="300A001B" w:tentative="1">
      <w:start w:val="1"/>
      <w:numFmt w:val="lowerRoman"/>
      <w:lvlText w:val="%3."/>
      <w:lvlJc w:val="right"/>
      <w:pPr>
        <w:ind w:left="2400" w:hanging="180"/>
      </w:pPr>
    </w:lvl>
    <w:lvl w:ilvl="3" w:tplc="300A000F" w:tentative="1">
      <w:start w:val="1"/>
      <w:numFmt w:val="decimal"/>
      <w:lvlText w:val="%4."/>
      <w:lvlJc w:val="left"/>
      <w:pPr>
        <w:ind w:left="3120" w:hanging="360"/>
      </w:pPr>
    </w:lvl>
    <w:lvl w:ilvl="4" w:tplc="300A0019" w:tentative="1">
      <w:start w:val="1"/>
      <w:numFmt w:val="lowerLetter"/>
      <w:lvlText w:val="%5."/>
      <w:lvlJc w:val="left"/>
      <w:pPr>
        <w:ind w:left="3840" w:hanging="360"/>
      </w:pPr>
    </w:lvl>
    <w:lvl w:ilvl="5" w:tplc="300A001B" w:tentative="1">
      <w:start w:val="1"/>
      <w:numFmt w:val="lowerRoman"/>
      <w:lvlText w:val="%6."/>
      <w:lvlJc w:val="right"/>
      <w:pPr>
        <w:ind w:left="4560" w:hanging="180"/>
      </w:pPr>
    </w:lvl>
    <w:lvl w:ilvl="6" w:tplc="300A000F" w:tentative="1">
      <w:start w:val="1"/>
      <w:numFmt w:val="decimal"/>
      <w:lvlText w:val="%7."/>
      <w:lvlJc w:val="left"/>
      <w:pPr>
        <w:ind w:left="5280" w:hanging="360"/>
      </w:pPr>
    </w:lvl>
    <w:lvl w:ilvl="7" w:tplc="300A0019" w:tentative="1">
      <w:start w:val="1"/>
      <w:numFmt w:val="lowerLetter"/>
      <w:lvlText w:val="%8."/>
      <w:lvlJc w:val="left"/>
      <w:pPr>
        <w:ind w:left="6000" w:hanging="360"/>
      </w:pPr>
    </w:lvl>
    <w:lvl w:ilvl="8" w:tplc="300A001B" w:tentative="1">
      <w:start w:val="1"/>
      <w:numFmt w:val="lowerRoman"/>
      <w:lvlText w:val="%9."/>
      <w:lvlJc w:val="right"/>
      <w:pPr>
        <w:ind w:left="6720" w:hanging="180"/>
      </w:pPr>
    </w:lvl>
  </w:abstractNum>
  <w:abstractNum w:abstractNumId="12">
    <w:nsid w:val="492C538E"/>
    <w:multiLevelType w:val="hybridMultilevel"/>
    <w:tmpl w:val="5F9C3A52"/>
    <w:lvl w:ilvl="0" w:tplc="F36E6B4A">
      <w:start w:val="1"/>
      <w:numFmt w:val="lowerLetter"/>
      <w:lvlText w:val="(%1)"/>
      <w:lvlJc w:val="left"/>
      <w:pPr>
        <w:ind w:left="960" w:hanging="360"/>
      </w:pPr>
      <w:rPr>
        <w:rFonts w:hint="default"/>
      </w:rPr>
    </w:lvl>
    <w:lvl w:ilvl="1" w:tplc="300A0019" w:tentative="1">
      <w:start w:val="1"/>
      <w:numFmt w:val="lowerLetter"/>
      <w:lvlText w:val="%2."/>
      <w:lvlJc w:val="left"/>
      <w:pPr>
        <w:ind w:left="1680" w:hanging="360"/>
      </w:pPr>
    </w:lvl>
    <w:lvl w:ilvl="2" w:tplc="300A001B" w:tentative="1">
      <w:start w:val="1"/>
      <w:numFmt w:val="lowerRoman"/>
      <w:lvlText w:val="%3."/>
      <w:lvlJc w:val="right"/>
      <w:pPr>
        <w:ind w:left="2400" w:hanging="180"/>
      </w:pPr>
    </w:lvl>
    <w:lvl w:ilvl="3" w:tplc="300A000F" w:tentative="1">
      <w:start w:val="1"/>
      <w:numFmt w:val="decimal"/>
      <w:lvlText w:val="%4."/>
      <w:lvlJc w:val="left"/>
      <w:pPr>
        <w:ind w:left="3120" w:hanging="360"/>
      </w:pPr>
    </w:lvl>
    <w:lvl w:ilvl="4" w:tplc="300A0019" w:tentative="1">
      <w:start w:val="1"/>
      <w:numFmt w:val="lowerLetter"/>
      <w:lvlText w:val="%5."/>
      <w:lvlJc w:val="left"/>
      <w:pPr>
        <w:ind w:left="3840" w:hanging="360"/>
      </w:pPr>
    </w:lvl>
    <w:lvl w:ilvl="5" w:tplc="300A001B" w:tentative="1">
      <w:start w:val="1"/>
      <w:numFmt w:val="lowerRoman"/>
      <w:lvlText w:val="%6."/>
      <w:lvlJc w:val="right"/>
      <w:pPr>
        <w:ind w:left="4560" w:hanging="180"/>
      </w:pPr>
    </w:lvl>
    <w:lvl w:ilvl="6" w:tplc="300A000F" w:tentative="1">
      <w:start w:val="1"/>
      <w:numFmt w:val="decimal"/>
      <w:lvlText w:val="%7."/>
      <w:lvlJc w:val="left"/>
      <w:pPr>
        <w:ind w:left="5280" w:hanging="360"/>
      </w:pPr>
    </w:lvl>
    <w:lvl w:ilvl="7" w:tplc="300A0019" w:tentative="1">
      <w:start w:val="1"/>
      <w:numFmt w:val="lowerLetter"/>
      <w:lvlText w:val="%8."/>
      <w:lvlJc w:val="left"/>
      <w:pPr>
        <w:ind w:left="6000" w:hanging="360"/>
      </w:pPr>
    </w:lvl>
    <w:lvl w:ilvl="8" w:tplc="300A001B" w:tentative="1">
      <w:start w:val="1"/>
      <w:numFmt w:val="lowerRoman"/>
      <w:lvlText w:val="%9."/>
      <w:lvlJc w:val="right"/>
      <w:pPr>
        <w:ind w:left="6720" w:hanging="180"/>
      </w:pPr>
    </w:lvl>
  </w:abstractNum>
  <w:abstractNum w:abstractNumId="13">
    <w:nsid w:val="59DB6E0A"/>
    <w:multiLevelType w:val="hybridMultilevel"/>
    <w:tmpl w:val="CF8CED04"/>
    <w:lvl w:ilvl="0" w:tplc="74765608">
      <w:start w:val="1"/>
      <w:numFmt w:val="bullet"/>
      <w:lvlText w:val=""/>
      <w:lvlPicBulletId w:val="0"/>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4">
    <w:nsid w:val="5DB8335F"/>
    <w:multiLevelType w:val="hybridMultilevel"/>
    <w:tmpl w:val="1E923AA6"/>
    <w:lvl w:ilvl="0" w:tplc="B32AD338">
      <w:start w:val="1"/>
      <w:numFmt w:val="bullet"/>
      <w:lvlText w:val=""/>
      <w:lvlJc w:val="left"/>
      <w:pPr>
        <w:ind w:left="720" w:hanging="360"/>
      </w:pPr>
      <w:rPr>
        <w:rFonts w:ascii="Baskerville Old Face" w:hAnsi="Baskerville Old Face"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5F65005B"/>
    <w:multiLevelType w:val="hybridMultilevel"/>
    <w:tmpl w:val="A33268B8"/>
    <w:lvl w:ilvl="0" w:tplc="74765608">
      <w:start w:val="1"/>
      <w:numFmt w:val="bullet"/>
      <w:lvlText w:val=""/>
      <w:lvlPicBulletId w:val="0"/>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6">
    <w:nsid w:val="638B0C17"/>
    <w:multiLevelType w:val="hybridMultilevel"/>
    <w:tmpl w:val="FD7C0FF8"/>
    <w:lvl w:ilvl="0" w:tplc="74765608">
      <w:start w:val="1"/>
      <w:numFmt w:val="bullet"/>
      <w:lvlText w:val=""/>
      <w:lvlPicBulletId w:val="0"/>
      <w:lvlJc w:val="left"/>
      <w:pPr>
        <w:ind w:left="1800" w:hanging="360"/>
      </w:pPr>
      <w:rPr>
        <w:rFonts w:ascii="Symbol" w:hAnsi="Symbol" w:hint="default"/>
        <w:color w:val="auto"/>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17">
    <w:nsid w:val="652E69EB"/>
    <w:multiLevelType w:val="hybridMultilevel"/>
    <w:tmpl w:val="7EB8FBA4"/>
    <w:lvl w:ilvl="0" w:tplc="9E2EE6BC">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6F612A1C"/>
    <w:multiLevelType w:val="hybridMultilevel"/>
    <w:tmpl w:val="ED28D7F4"/>
    <w:lvl w:ilvl="0" w:tplc="74765608">
      <w:start w:val="1"/>
      <w:numFmt w:val="bullet"/>
      <w:lvlText w:val=""/>
      <w:lvlPicBulletId w:val="0"/>
      <w:lvlJc w:val="left"/>
      <w:pPr>
        <w:ind w:left="1800" w:hanging="360"/>
      </w:pPr>
      <w:rPr>
        <w:rFonts w:ascii="Symbol" w:hAnsi="Symbol" w:hint="default"/>
        <w:color w:val="auto"/>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19">
    <w:nsid w:val="71BC14AB"/>
    <w:multiLevelType w:val="hybridMultilevel"/>
    <w:tmpl w:val="3894E0CE"/>
    <w:lvl w:ilvl="0" w:tplc="74765608">
      <w:start w:val="1"/>
      <w:numFmt w:val="bullet"/>
      <w:lvlText w:val=""/>
      <w:lvlPicBulletId w:val="0"/>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0">
    <w:nsid w:val="76654E16"/>
    <w:multiLevelType w:val="hybridMultilevel"/>
    <w:tmpl w:val="7C44C9E0"/>
    <w:lvl w:ilvl="0" w:tplc="BAEA3BE0">
      <w:start w:val="1"/>
      <w:numFmt w:val="lowerLetter"/>
      <w:lvlText w:val="(%1)"/>
      <w:lvlJc w:val="left"/>
      <w:pPr>
        <w:ind w:left="960" w:hanging="360"/>
      </w:pPr>
      <w:rPr>
        <w:rFonts w:hint="default"/>
      </w:rPr>
    </w:lvl>
    <w:lvl w:ilvl="1" w:tplc="300A0019" w:tentative="1">
      <w:start w:val="1"/>
      <w:numFmt w:val="lowerLetter"/>
      <w:lvlText w:val="%2."/>
      <w:lvlJc w:val="left"/>
      <w:pPr>
        <w:ind w:left="1680" w:hanging="360"/>
      </w:pPr>
    </w:lvl>
    <w:lvl w:ilvl="2" w:tplc="300A001B" w:tentative="1">
      <w:start w:val="1"/>
      <w:numFmt w:val="lowerRoman"/>
      <w:lvlText w:val="%3."/>
      <w:lvlJc w:val="right"/>
      <w:pPr>
        <w:ind w:left="2400" w:hanging="180"/>
      </w:pPr>
    </w:lvl>
    <w:lvl w:ilvl="3" w:tplc="300A000F" w:tentative="1">
      <w:start w:val="1"/>
      <w:numFmt w:val="decimal"/>
      <w:lvlText w:val="%4."/>
      <w:lvlJc w:val="left"/>
      <w:pPr>
        <w:ind w:left="3120" w:hanging="360"/>
      </w:pPr>
    </w:lvl>
    <w:lvl w:ilvl="4" w:tplc="300A0019" w:tentative="1">
      <w:start w:val="1"/>
      <w:numFmt w:val="lowerLetter"/>
      <w:lvlText w:val="%5."/>
      <w:lvlJc w:val="left"/>
      <w:pPr>
        <w:ind w:left="3840" w:hanging="360"/>
      </w:pPr>
    </w:lvl>
    <w:lvl w:ilvl="5" w:tplc="300A001B" w:tentative="1">
      <w:start w:val="1"/>
      <w:numFmt w:val="lowerRoman"/>
      <w:lvlText w:val="%6."/>
      <w:lvlJc w:val="right"/>
      <w:pPr>
        <w:ind w:left="4560" w:hanging="180"/>
      </w:pPr>
    </w:lvl>
    <w:lvl w:ilvl="6" w:tplc="300A000F" w:tentative="1">
      <w:start w:val="1"/>
      <w:numFmt w:val="decimal"/>
      <w:lvlText w:val="%7."/>
      <w:lvlJc w:val="left"/>
      <w:pPr>
        <w:ind w:left="5280" w:hanging="360"/>
      </w:pPr>
    </w:lvl>
    <w:lvl w:ilvl="7" w:tplc="300A0019" w:tentative="1">
      <w:start w:val="1"/>
      <w:numFmt w:val="lowerLetter"/>
      <w:lvlText w:val="%8."/>
      <w:lvlJc w:val="left"/>
      <w:pPr>
        <w:ind w:left="6000" w:hanging="360"/>
      </w:pPr>
    </w:lvl>
    <w:lvl w:ilvl="8" w:tplc="300A001B" w:tentative="1">
      <w:start w:val="1"/>
      <w:numFmt w:val="lowerRoman"/>
      <w:lvlText w:val="%9."/>
      <w:lvlJc w:val="right"/>
      <w:pPr>
        <w:ind w:left="6720" w:hanging="180"/>
      </w:pPr>
    </w:lvl>
  </w:abstractNum>
  <w:abstractNum w:abstractNumId="21">
    <w:nsid w:val="7F0828E2"/>
    <w:multiLevelType w:val="hybridMultilevel"/>
    <w:tmpl w:val="518E048E"/>
    <w:lvl w:ilvl="0" w:tplc="BE4A9E32">
      <w:start w:val="1"/>
      <w:numFmt w:val="lowerLetter"/>
      <w:lvlText w:val="(%1)"/>
      <w:lvlJc w:val="left"/>
      <w:pPr>
        <w:ind w:left="960" w:hanging="360"/>
      </w:pPr>
      <w:rPr>
        <w:rFonts w:hint="default"/>
      </w:rPr>
    </w:lvl>
    <w:lvl w:ilvl="1" w:tplc="300A0019" w:tentative="1">
      <w:start w:val="1"/>
      <w:numFmt w:val="lowerLetter"/>
      <w:lvlText w:val="%2."/>
      <w:lvlJc w:val="left"/>
      <w:pPr>
        <w:ind w:left="1680" w:hanging="360"/>
      </w:pPr>
    </w:lvl>
    <w:lvl w:ilvl="2" w:tplc="300A001B" w:tentative="1">
      <w:start w:val="1"/>
      <w:numFmt w:val="lowerRoman"/>
      <w:lvlText w:val="%3."/>
      <w:lvlJc w:val="right"/>
      <w:pPr>
        <w:ind w:left="2400" w:hanging="180"/>
      </w:pPr>
    </w:lvl>
    <w:lvl w:ilvl="3" w:tplc="300A000F" w:tentative="1">
      <w:start w:val="1"/>
      <w:numFmt w:val="decimal"/>
      <w:lvlText w:val="%4."/>
      <w:lvlJc w:val="left"/>
      <w:pPr>
        <w:ind w:left="3120" w:hanging="360"/>
      </w:pPr>
    </w:lvl>
    <w:lvl w:ilvl="4" w:tplc="300A0019" w:tentative="1">
      <w:start w:val="1"/>
      <w:numFmt w:val="lowerLetter"/>
      <w:lvlText w:val="%5."/>
      <w:lvlJc w:val="left"/>
      <w:pPr>
        <w:ind w:left="3840" w:hanging="360"/>
      </w:pPr>
    </w:lvl>
    <w:lvl w:ilvl="5" w:tplc="300A001B" w:tentative="1">
      <w:start w:val="1"/>
      <w:numFmt w:val="lowerRoman"/>
      <w:lvlText w:val="%6."/>
      <w:lvlJc w:val="right"/>
      <w:pPr>
        <w:ind w:left="4560" w:hanging="180"/>
      </w:pPr>
    </w:lvl>
    <w:lvl w:ilvl="6" w:tplc="300A000F" w:tentative="1">
      <w:start w:val="1"/>
      <w:numFmt w:val="decimal"/>
      <w:lvlText w:val="%7."/>
      <w:lvlJc w:val="left"/>
      <w:pPr>
        <w:ind w:left="5280" w:hanging="360"/>
      </w:pPr>
    </w:lvl>
    <w:lvl w:ilvl="7" w:tplc="300A0019" w:tentative="1">
      <w:start w:val="1"/>
      <w:numFmt w:val="lowerLetter"/>
      <w:lvlText w:val="%8."/>
      <w:lvlJc w:val="left"/>
      <w:pPr>
        <w:ind w:left="6000" w:hanging="360"/>
      </w:pPr>
    </w:lvl>
    <w:lvl w:ilvl="8" w:tplc="300A001B" w:tentative="1">
      <w:start w:val="1"/>
      <w:numFmt w:val="lowerRoman"/>
      <w:lvlText w:val="%9."/>
      <w:lvlJc w:val="right"/>
      <w:pPr>
        <w:ind w:left="6720" w:hanging="180"/>
      </w:pPr>
    </w:lvl>
  </w:abstractNum>
  <w:num w:numId="1">
    <w:abstractNumId w:val="17"/>
  </w:num>
  <w:num w:numId="2">
    <w:abstractNumId w:val="12"/>
  </w:num>
  <w:num w:numId="3">
    <w:abstractNumId w:val="9"/>
  </w:num>
  <w:num w:numId="4">
    <w:abstractNumId w:val="5"/>
  </w:num>
  <w:num w:numId="5">
    <w:abstractNumId w:val="20"/>
  </w:num>
  <w:num w:numId="6">
    <w:abstractNumId w:val="11"/>
  </w:num>
  <w:num w:numId="7">
    <w:abstractNumId w:val="21"/>
  </w:num>
  <w:num w:numId="8">
    <w:abstractNumId w:val="2"/>
  </w:num>
  <w:num w:numId="9">
    <w:abstractNumId w:val="7"/>
  </w:num>
  <w:num w:numId="10">
    <w:abstractNumId w:val="0"/>
  </w:num>
  <w:num w:numId="11">
    <w:abstractNumId w:val="14"/>
  </w:num>
  <w:num w:numId="12">
    <w:abstractNumId w:val="13"/>
  </w:num>
  <w:num w:numId="13">
    <w:abstractNumId w:val="6"/>
  </w:num>
  <w:num w:numId="14">
    <w:abstractNumId w:val="10"/>
  </w:num>
  <w:num w:numId="15">
    <w:abstractNumId w:val="15"/>
  </w:num>
  <w:num w:numId="16">
    <w:abstractNumId w:val="19"/>
  </w:num>
  <w:num w:numId="17">
    <w:abstractNumId w:val="4"/>
  </w:num>
  <w:num w:numId="18">
    <w:abstractNumId w:val="1"/>
  </w:num>
  <w:num w:numId="19">
    <w:abstractNumId w:val="8"/>
  </w:num>
  <w:num w:numId="20">
    <w:abstractNumId w:val="16"/>
  </w:num>
  <w:num w:numId="21">
    <w:abstractNumId w:val="1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55"/>
    <w:rsid w:val="00050F7F"/>
    <w:rsid w:val="000D0203"/>
    <w:rsid w:val="00152C1F"/>
    <w:rsid w:val="001830A9"/>
    <w:rsid w:val="0019422C"/>
    <w:rsid w:val="001E7AD9"/>
    <w:rsid w:val="00290C08"/>
    <w:rsid w:val="002C7E4B"/>
    <w:rsid w:val="00483325"/>
    <w:rsid w:val="004A6EB0"/>
    <w:rsid w:val="004C32A3"/>
    <w:rsid w:val="004F0455"/>
    <w:rsid w:val="00556A01"/>
    <w:rsid w:val="00576095"/>
    <w:rsid w:val="00685580"/>
    <w:rsid w:val="006A3EAD"/>
    <w:rsid w:val="006D0E26"/>
    <w:rsid w:val="00703953"/>
    <w:rsid w:val="00734EA6"/>
    <w:rsid w:val="00753344"/>
    <w:rsid w:val="007D6A1B"/>
    <w:rsid w:val="00816C2E"/>
    <w:rsid w:val="0085030D"/>
    <w:rsid w:val="008E5C97"/>
    <w:rsid w:val="00912D2F"/>
    <w:rsid w:val="009C12EF"/>
    <w:rsid w:val="00AC5B0C"/>
    <w:rsid w:val="00AE5EFC"/>
    <w:rsid w:val="00B04DB3"/>
    <w:rsid w:val="00D64C81"/>
    <w:rsid w:val="00E62596"/>
    <w:rsid w:val="00F24B68"/>
    <w:rsid w:val="00FF098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455"/>
  </w:style>
  <w:style w:type="paragraph" w:styleId="Ttulo1">
    <w:name w:val="heading 1"/>
    <w:basedOn w:val="Normal"/>
    <w:next w:val="Normal"/>
    <w:link w:val="Ttulo1Car"/>
    <w:uiPriority w:val="9"/>
    <w:qFormat/>
    <w:rsid w:val="000D0203"/>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w">
    <w:name w:val="nw"/>
    <w:basedOn w:val="Fuentedeprrafopredeter"/>
    <w:rsid w:val="00152C1F"/>
  </w:style>
  <w:style w:type="character" w:customStyle="1" w:styleId="a">
    <w:name w:val="a"/>
    <w:basedOn w:val="Fuentedeprrafopredeter"/>
    <w:rsid w:val="00152C1F"/>
  </w:style>
  <w:style w:type="paragraph" w:styleId="Prrafodelista">
    <w:name w:val="List Paragraph"/>
    <w:basedOn w:val="Normal"/>
    <w:uiPriority w:val="34"/>
    <w:qFormat/>
    <w:rsid w:val="006D0E26"/>
    <w:pPr>
      <w:ind w:left="720"/>
      <w:contextualSpacing/>
    </w:pPr>
    <w:rPr>
      <w:rFonts w:eastAsiaTheme="minorEastAsia"/>
      <w:lang w:eastAsia="es-EC"/>
    </w:rPr>
  </w:style>
  <w:style w:type="paragraph" w:customStyle="1" w:styleId="Default">
    <w:name w:val="Default"/>
    <w:rsid w:val="00556A01"/>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85030D"/>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85030D"/>
    <w:rPr>
      <w:b/>
      <w:bCs/>
    </w:rPr>
  </w:style>
  <w:style w:type="paragraph" w:styleId="Textodeglobo">
    <w:name w:val="Balloon Text"/>
    <w:basedOn w:val="Normal"/>
    <w:link w:val="TextodegloboCar"/>
    <w:uiPriority w:val="99"/>
    <w:semiHidden/>
    <w:unhideWhenUsed/>
    <w:rsid w:val="0019422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9422C"/>
    <w:rPr>
      <w:rFonts w:ascii="Tahoma" w:hAnsi="Tahoma" w:cs="Tahoma"/>
      <w:sz w:val="16"/>
      <w:szCs w:val="16"/>
    </w:rPr>
  </w:style>
  <w:style w:type="character" w:customStyle="1" w:styleId="Ttulo1Car">
    <w:name w:val="Título 1 Car"/>
    <w:basedOn w:val="Fuentedeprrafopredeter"/>
    <w:link w:val="Ttulo1"/>
    <w:uiPriority w:val="9"/>
    <w:rsid w:val="000D0203"/>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0D02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455"/>
  </w:style>
  <w:style w:type="paragraph" w:styleId="Ttulo1">
    <w:name w:val="heading 1"/>
    <w:basedOn w:val="Normal"/>
    <w:next w:val="Normal"/>
    <w:link w:val="Ttulo1Car"/>
    <w:uiPriority w:val="9"/>
    <w:qFormat/>
    <w:rsid w:val="000D0203"/>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w">
    <w:name w:val="nw"/>
    <w:basedOn w:val="Fuentedeprrafopredeter"/>
    <w:rsid w:val="00152C1F"/>
  </w:style>
  <w:style w:type="character" w:customStyle="1" w:styleId="a">
    <w:name w:val="a"/>
    <w:basedOn w:val="Fuentedeprrafopredeter"/>
    <w:rsid w:val="00152C1F"/>
  </w:style>
  <w:style w:type="paragraph" w:styleId="Prrafodelista">
    <w:name w:val="List Paragraph"/>
    <w:basedOn w:val="Normal"/>
    <w:uiPriority w:val="34"/>
    <w:qFormat/>
    <w:rsid w:val="006D0E26"/>
    <w:pPr>
      <w:ind w:left="720"/>
      <w:contextualSpacing/>
    </w:pPr>
    <w:rPr>
      <w:rFonts w:eastAsiaTheme="minorEastAsia"/>
      <w:lang w:eastAsia="es-EC"/>
    </w:rPr>
  </w:style>
  <w:style w:type="paragraph" w:customStyle="1" w:styleId="Default">
    <w:name w:val="Default"/>
    <w:rsid w:val="00556A01"/>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85030D"/>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85030D"/>
    <w:rPr>
      <w:b/>
      <w:bCs/>
    </w:rPr>
  </w:style>
  <w:style w:type="paragraph" w:styleId="Textodeglobo">
    <w:name w:val="Balloon Text"/>
    <w:basedOn w:val="Normal"/>
    <w:link w:val="TextodegloboCar"/>
    <w:uiPriority w:val="99"/>
    <w:semiHidden/>
    <w:unhideWhenUsed/>
    <w:rsid w:val="0019422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9422C"/>
    <w:rPr>
      <w:rFonts w:ascii="Tahoma" w:hAnsi="Tahoma" w:cs="Tahoma"/>
      <w:sz w:val="16"/>
      <w:szCs w:val="16"/>
    </w:rPr>
  </w:style>
  <w:style w:type="character" w:customStyle="1" w:styleId="Ttulo1Car">
    <w:name w:val="Título 1 Car"/>
    <w:basedOn w:val="Fuentedeprrafopredeter"/>
    <w:link w:val="Ttulo1"/>
    <w:uiPriority w:val="9"/>
    <w:rsid w:val="000D0203"/>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0D0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472237">
      <w:bodyDiv w:val="1"/>
      <w:marLeft w:val="0"/>
      <w:marRight w:val="0"/>
      <w:marTop w:val="0"/>
      <w:marBottom w:val="0"/>
      <w:divBdr>
        <w:top w:val="none" w:sz="0" w:space="0" w:color="auto"/>
        <w:left w:val="none" w:sz="0" w:space="0" w:color="auto"/>
        <w:bottom w:val="none" w:sz="0" w:space="0" w:color="auto"/>
        <w:right w:val="none" w:sz="0" w:space="0" w:color="auto"/>
      </w:divBdr>
    </w:div>
    <w:div w:id="337197786">
      <w:bodyDiv w:val="1"/>
      <w:marLeft w:val="0"/>
      <w:marRight w:val="0"/>
      <w:marTop w:val="0"/>
      <w:marBottom w:val="0"/>
      <w:divBdr>
        <w:top w:val="none" w:sz="0" w:space="0" w:color="auto"/>
        <w:left w:val="none" w:sz="0" w:space="0" w:color="auto"/>
        <w:bottom w:val="none" w:sz="0" w:space="0" w:color="auto"/>
        <w:right w:val="none" w:sz="0" w:space="0" w:color="auto"/>
      </w:divBdr>
    </w:div>
    <w:div w:id="579603587">
      <w:bodyDiv w:val="1"/>
      <w:marLeft w:val="0"/>
      <w:marRight w:val="0"/>
      <w:marTop w:val="0"/>
      <w:marBottom w:val="0"/>
      <w:divBdr>
        <w:top w:val="none" w:sz="0" w:space="0" w:color="auto"/>
        <w:left w:val="none" w:sz="0" w:space="0" w:color="auto"/>
        <w:bottom w:val="none" w:sz="0" w:space="0" w:color="auto"/>
        <w:right w:val="none" w:sz="0" w:space="0" w:color="auto"/>
      </w:divBdr>
    </w:div>
    <w:div w:id="918100267">
      <w:bodyDiv w:val="1"/>
      <w:marLeft w:val="0"/>
      <w:marRight w:val="0"/>
      <w:marTop w:val="0"/>
      <w:marBottom w:val="0"/>
      <w:divBdr>
        <w:top w:val="none" w:sz="0" w:space="0" w:color="auto"/>
        <w:left w:val="none" w:sz="0" w:space="0" w:color="auto"/>
        <w:bottom w:val="none" w:sz="0" w:space="0" w:color="auto"/>
        <w:right w:val="none" w:sz="0" w:space="0" w:color="auto"/>
      </w:divBdr>
    </w:div>
    <w:div w:id="1053845969">
      <w:bodyDiv w:val="1"/>
      <w:marLeft w:val="0"/>
      <w:marRight w:val="0"/>
      <w:marTop w:val="0"/>
      <w:marBottom w:val="0"/>
      <w:divBdr>
        <w:top w:val="none" w:sz="0" w:space="0" w:color="auto"/>
        <w:left w:val="none" w:sz="0" w:space="0" w:color="auto"/>
        <w:bottom w:val="none" w:sz="0" w:space="0" w:color="auto"/>
        <w:right w:val="none" w:sz="0" w:space="0" w:color="auto"/>
      </w:divBdr>
    </w:div>
    <w:div w:id="1186558713">
      <w:bodyDiv w:val="1"/>
      <w:marLeft w:val="0"/>
      <w:marRight w:val="0"/>
      <w:marTop w:val="0"/>
      <w:marBottom w:val="0"/>
      <w:divBdr>
        <w:top w:val="none" w:sz="0" w:space="0" w:color="auto"/>
        <w:left w:val="none" w:sz="0" w:space="0" w:color="auto"/>
        <w:bottom w:val="none" w:sz="0" w:space="0" w:color="auto"/>
        <w:right w:val="none" w:sz="0" w:space="0" w:color="auto"/>
      </w:divBdr>
    </w:div>
    <w:div w:id="1546256828">
      <w:bodyDiv w:val="1"/>
      <w:marLeft w:val="0"/>
      <w:marRight w:val="0"/>
      <w:marTop w:val="0"/>
      <w:marBottom w:val="0"/>
      <w:divBdr>
        <w:top w:val="none" w:sz="0" w:space="0" w:color="auto"/>
        <w:left w:val="none" w:sz="0" w:space="0" w:color="auto"/>
        <w:bottom w:val="none" w:sz="0" w:space="0" w:color="auto"/>
        <w:right w:val="none" w:sz="0" w:space="0" w:color="auto"/>
      </w:divBdr>
    </w:div>
    <w:div w:id="1724214809">
      <w:bodyDiv w:val="1"/>
      <w:marLeft w:val="0"/>
      <w:marRight w:val="0"/>
      <w:marTop w:val="0"/>
      <w:marBottom w:val="0"/>
      <w:divBdr>
        <w:top w:val="none" w:sz="0" w:space="0" w:color="auto"/>
        <w:left w:val="none" w:sz="0" w:space="0" w:color="auto"/>
        <w:bottom w:val="none" w:sz="0" w:space="0" w:color="auto"/>
        <w:right w:val="none" w:sz="0" w:space="0" w:color="auto"/>
      </w:divBdr>
    </w:div>
    <w:div w:id="1735852122">
      <w:bodyDiv w:val="1"/>
      <w:marLeft w:val="0"/>
      <w:marRight w:val="0"/>
      <w:marTop w:val="0"/>
      <w:marBottom w:val="0"/>
      <w:divBdr>
        <w:top w:val="none" w:sz="0" w:space="0" w:color="auto"/>
        <w:left w:val="none" w:sz="0" w:space="0" w:color="auto"/>
        <w:bottom w:val="none" w:sz="0" w:space="0" w:color="auto"/>
        <w:right w:val="none" w:sz="0" w:space="0" w:color="auto"/>
      </w:divBdr>
    </w:div>
    <w:div w:id="208590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7/sisinf/sisinf.shtml" TargetMode="Externa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CIF</b:Tag>
    <b:SourceType>BookSection</b:SourceType>
    <b:Guid>{1003FB7A-EA7B-48B4-9536-A49F566D7593}</b:Guid>
    <b:LCID>es-EC</b:LCID>
    <b:Title>Análisis Financiero</b:Title>
    <b:BookTitle>Análisis Financiero</b:BookTitle>
    <b:Pages>3 - 5</b:Pages>
    <b:City>Santa Fe de Bogotá </b:City>
    <b:Publisher>Fusm</b:Publisher>
    <b:Author>
      <b:Author>
        <b:NameList>
          <b:Person>
            <b:Last>CIFUENTES</b:Last>
            <b:Middle>Pablo</b:Middle>
            <b:First>Juan</b:First>
          </b:Person>
        </b:NameList>
      </b:Author>
      <b:BookAuthor>
        <b:NameList>
          <b:Person>
            <b:Last>CIFUENTES</b:Last>
            <b:First>Juan</b:First>
            <b:Middle>Pablo</b:Middle>
          </b:Person>
        </b:NameList>
      </b:BookAuthor>
    </b:Author>
    <b:RefOrder>2</b:RefOrder>
  </b:Source>
  <b:Source>
    <b:Tag>ZAM08</b:Tag>
    <b:SourceType>BookSection</b:SourceType>
    <b:Guid>{BD795319-7DBE-4B44-88C8-5B81E8DEC09B}</b:Guid>
    <b:LCID>es-EC</b:LCID>
    <b:Title>NIFFS</b:Title>
    <b:BookTitle>NIFFS</b:BookTitle>
    <b:Year>2008</b:Year>
    <b:Pages>5 - 291</b:Pages>
    <b:Publisher>Edicontab</b:Publisher>
    <b:Author>
      <b:Author>
        <b:NameList>
          <b:Person>
            <b:Last>ZAMBRANO</b:Last>
            <b:First>Rodrigo</b:First>
          </b:Person>
        </b:NameList>
      </b:Author>
      <b:BookAuthor>
        <b:NameList>
          <b:Person>
            <b:Last>ZAMBRANO</b:Last>
            <b:First>Rodrigo</b:First>
          </b:Person>
        </b:NameList>
      </b:BookAuthor>
    </b:Author>
    <b:RefOrder>1</b:RefOrder>
  </b:Source>
</b:Sources>
</file>

<file path=customXml/itemProps1.xml><?xml version="1.0" encoding="utf-8"?>
<ds:datastoreItem xmlns:ds="http://schemas.openxmlformats.org/officeDocument/2006/customXml" ds:itemID="{391FF88D-A1BF-47A7-9A55-D23E7A233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24</Pages>
  <Words>2861</Words>
  <Characters>15737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VERONICA</cp:lastModifiedBy>
  <cp:revision>1</cp:revision>
  <dcterms:created xsi:type="dcterms:W3CDTF">2012-11-06T21:14:00Z</dcterms:created>
  <dcterms:modified xsi:type="dcterms:W3CDTF">2012-11-07T04:09:00Z</dcterms:modified>
</cp:coreProperties>
</file>